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70" w:rsidRPr="001272BC" w:rsidRDefault="0038449D" w:rsidP="00204819">
      <w:pPr>
        <w:pStyle w:val="Heading1"/>
        <w:spacing w:before="0"/>
        <w:jc w:val="center"/>
      </w:pPr>
      <w:bookmarkStart w:id="0" w:name="_GoBack"/>
      <w:bookmarkEnd w:id="0"/>
      <w:r w:rsidRPr="001272BC">
        <w:t>A</w:t>
      </w:r>
      <w:r w:rsidR="00E4478A" w:rsidRPr="001272BC">
        <w:t xml:space="preserve"> </w:t>
      </w:r>
      <w:r w:rsidR="00825933">
        <w:t xml:space="preserve">Governance </w:t>
      </w:r>
      <w:r w:rsidRPr="001272BC">
        <w:t>S</w:t>
      </w:r>
      <w:r w:rsidR="00E4478A" w:rsidRPr="001272BC">
        <w:t xml:space="preserve">tudy of </w:t>
      </w:r>
      <w:r w:rsidR="00781806">
        <w:t>Corporate Ownership</w:t>
      </w:r>
      <w:r w:rsidR="00F106B8">
        <w:t xml:space="preserve"> in the Insurance Industry</w:t>
      </w:r>
    </w:p>
    <w:p w:rsidR="00BC7B3C" w:rsidRPr="001272BC" w:rsidRDefault="00BC7B3C" w:rsidP="00204819">
      <w:pPr>
        <w:pStyle w:val="Heading1"/>
        <w:spacing w:before="0"/>
      </w:pPr>
    </w:p>
    <w:p w:rsidR="00BC7B3C" w:rsidRPr="001C5112" w:rsidRDefault="00BC7B3C" w:rsidP="00204819">
      <w:pPr>
        <w:rPr>
          <w:b/>
          <w:smallCaps/>
        </w:rPr>
      </w:pPr>
      <w:r w:rsidRPr="001C5112">
        <w:rPr>
          <w:b/>
          <w:smallCaps/>
        </w:rPr>
        <w:t>Abstract</w:t>
      </w:r>
    </w:p>
    <w:p w:rsidR="00BC7B3C" w:rsidRDefault="00BC7B3C" w:rsidP="00204819"/>
    <w:p w:rsidR="008845C5" w:rsidRDefault="008845C5" w:rsidP="00B82F68">
      <w:pPr>
        <w:jc w:val="both"/>
      </w:pPr>
      <w:r w:rsidRPr="00B85B5F">
        <w:rPr>
          <w:color w:val="000000"/>
        </w:rPr>
        <w:t>This study focus</w:t>
      </w:r>
      <w:r w:rsidR="00DD0BB6">
        <w:rPr>
          <w:color w:val="000000"/>
        </w:rPr>
        <w:t>es</w:t>
      </w:r>
      <w:r w:rsidRPr="00B85B5F">
        <w:rPr>
          <w:color w:val="000000"/>
        </w:rPr>
        <w:t xml:space="preserve"> on </w:t>
      </w:r>
      <w:r w:rsidR="00DD0BB6">
        <w:rPr>
          <w:color w:val="000000"/>
        </w:rPr>
        <w:t xml:space="preserve">family control and </w:t>
      </w:r>
      <w:r w:rsidRPr="00B85B5F">
        <w:rPr>
          <w:color w:val="000000"/>
        </w:rPr>
        <w:t>ownership</w:t>
      </w:r>
      <w:r w:rsidR="00DD0BB6">
        <w:rPr>
          <w:color w:val="000000"/>
        </w:rPr>
        <w:t xml:space="preserve"> patterns in the U.S. insurance industry</w:t>
      </w:r>
      <w:r w:rsidRPr="00B85B5F">
        <w:rPr>
          <w:color w:val="000000"/>
        </w:rPr>
        <w:t>. Conflicting theories argue that family</w:t>
      </w:r>
      <w:r w:rsidR="00DD0BB6">
        <w:rPr>
          <w:color w:val="000000"/>
        </w:rPr>
        <w:t xml:space="preserve"> firms perform worse due to</w:t>
      </w:r>
      <w:r w:rsidRPr="00B85B5F">
        <w:rPr>
          <w:color w:val="000000"/>
        </w:rPr>
        <w:t xml:space="preserve"> nepotism and weak risk-bearing attributes</w:t>
      </w:r>
      <w:r w:rsidR="00096E2E">
        <w:rPr>
          <w:color w:val="000000"/>
        </w:rPr>
        <w:t xml:space="preserve"> (Agency theory)</w:t>
      </w:r>
      <w:r w:rsidRPr="00B85B5F">
        <w:rPr>
          <w:color w:val="000000"/>
        </w:rPr>
        <w:t xml:space="preserve"> or that family firms </w:t>
      </w:r>
      <w:r w:rsidR="00DD0BB6">
        <w:rPr>
          <w:color w:val="000000"/>
        </w:rPr>
        <w:t>perform better</w:t>
      </w:r>
      <w:r w:rsidRPr="00B85B5F">
        <w:rPr>
          <w:color w:val="000000"/>
        </w:rPr>
        <w:t xml:space="preserve"> because the unity of ownership and control reduce agency expenses</w:t>
      </w:r>
      <w:r w:rsidR="00096E2E">
        <w:rPr>
          <w:color w:val="000000"/>
        </w:rPr>
        <w:t xml:space="preserve"> (Stewardship theory)</w:t>
      </w:r>
      <w:r w:rsidRPr="00B85B5F">
        <w:rPr>
          <w:color w:val="000000"/>
        </w:rPr>
        <w:t xml:space="preserve">. Our findings support the </w:t>
      </w:r>
      <w:r w:rsidR="00096E2E">
        <w:rPr>
          <w:color w:val="000000"/>
        </w:rPr>
        <w:t>Stewardship</w:t>
      </w:r>
      <w:r w:rsidRPr="00B85B5F">
        <w:rPr>
          <w:color w:val="000000"/>
        </w:rPr>
        <w:t xml:space="preserve"> </w:t>
      </w:r>
      <w:r w:rsidR="00080716">
        <w:rPr>
          <w:color w:val="000000"/>
        </w:rPr>
        <w:t>view of the firm</w:t>
      </w:r>
      <w:r w:rsidR="00096E2E">
        <w:rPr>
          <w:color w:val="000000"/>
        </w:rPr>
        <w:t xml:space="preserve">. </w:t>
      </w:r>
      <w:r w:rsidR="00080716">
        <w:rPr>
          <w:color w:val="000000"/>
        </w:rPr>
        <w:t>Our</w:t>
      </w:r>
      <w:r w:rsidR="00080716" w:rsidRPr="00B85B5F">
        <w:rPr>
          <w:color w:val="000000"/>
        </w:rPr>
        <w:t xml:space="preserve"> </w:t>
      </w:r>
      <w:r w:rsidRPr="00B85B5F">
        <w:rPr>
          <w:color w:val="000000"/>
        </w:rPr>
        <w:t xml:space="preserve">findings also </w:t>
      </w:r>
      <w:r w:rsidR="00B948BE">
        <w:rPr>
          <w:color w:val="000000"/>
        </w:rPr>
        <w:t>demonstrate</w:t>
      </w:r>
      <w:r w:rsidRPr="00B85B5F">
        <w:rPr>
          <w:color w:val="000000"/>
        </w:rPr>
        <w:t xml:space="preserve"> </w:t>
      </w:r>
      <w:r w:rsidR="00B948BE">
        <w:rPr>
          <w:color w:val="000000"/>
        </w:rPr>
        <w:t>that</w:t>
      </w:r>
      <w:r w:rsidRPr="00B85B5F">
        <w:rPr>
          <w:color w:val="000000"/>
        </w:rPr>
        <w:t xml:space="preserve"> </w:t>
      </w:r>
      <w:r w:rsidR="00B948BE">
        <w:rPr>
          <w:color w:val="000000"/>
        </w:rPr>
        <w:t>CEO-Chairperson duality improves performance but that the combination of family and duality is sub-optimal</w:t>
      </w:r>
      <w:r w:rsidRPr="00B85B5F">
        <w:rPr>
          <w:color w:val="000000"/>
        </w:rPr>
        <w:t>. </w:t>
      </w:r>
      <w:r w:rsidR="00B948BE">
        <w:rPr>
          <w:color w:val="000000"/>
        </w:rPr>
        <w:t>We further study implications of institutional investor and insider ownership, compensation structure, and leverage on performance.</w:t>
      </w:r>
    </w:p>
    <w:p w:rsidR="008845C5" w:rsidRPr="001272BC" w:rsidRDefault="008845C5" w:rsidP="00204819"/>
    <w:p w:rsidR="003535CC" w:rsidRPr="001C5112" w:rsidRDefault="007743B2" w:rsidP="00204819">
      <w:pPr>
        <w:spacing w:line="480" w:lineRule="auto"/>
        <w:rPr>
          <w:b/>
          <w:smallCaps/>
        </w:rPr>
      </w:pPr>
      <w:r w:rsidRPr="001C5112">
        <w:rPr>
          <w:b/>
          <w:smallCaps/>
        </w:rPr>
        <w:t xml:space="preserve">I. </w:t>
      </w:r>
      <w:r w:rsidR="003535CC" w:rsidRPr="001C5112">
        <w:rPr>
          <w:b/>
          <w:smallCaps/>
        </w:rPr>
        <w:t>Introduction</w:t>
      </w:r>
      <w:r w:rsidR="00216559" w:rsidRPr="001C5112">
        <w:rPr>
          <w:b/>
          <w:smallCaps/>
        </w:rPr>
        <w:t xml:space="preserve"> </w:t>
      </w:r>
      <w:r w:rsidR="009577DC">
        <w:rPr>
          <w:b/>
          <w:smallCaps/>
        </w:rPr>
        <w:t>and</w:t>
      </w:r>
      <w:r w:rsidR="00216559" w:rsidRPr="001C5112">
        <w:rPr>
          <w:b/>
          <w:smallCaps/>
        </w:rPr>
        <w:t xml:space="preserve"> Hypothesis Development</w:t>
      </w:r>
    </w:p>
    <w:p w:rsidR="00A226FF" w:rsidRDefault="00A226FF" w:rsidP="001C5112">
      <w:pPr>
        <w:spacing w:line="480" w:lineRule="auto"/>
        <w:jc w:val="both"/>
      </w:pPr>
      <w:r>
        <w:tab/>
        <w:t>The focus</w:t>
      </w:r>
      <w:r w:rsidRPr="00A226FF">
        <w:t xml:space="preserve"> </w:t>
      </w:r>
      <w:r>
        <w:t>of this governance study is on ownership patterns of the US insurance industry</w:t>
      </w:r>
      <w:r w:rsidRPr="001272BC">
        <w:t>,</w:t>
      </w:r>
      <w:r w:rsidR="0071529E">
        <w:t xml:space="preserve"> which is characterized by a high proportion of family controlled firm</w:t>
      </w:r>
      <w:r w:rsidR="008845C5">
        <w:t>s</w:t>
      </w:r>
      <w:r w:rsidR="0071529E">
        <w:t>.</w:t>
      </w:r>
      <w:r w:rsidR="0071529E">
        <w:rPr>
          <w:rStyle w:val="FootnoteReference"/>
        </w:rPr>
        <w:footnoteReference w:id="1"/>
      </w:r>
      <w:r w:rsidR="0071529E">
        <w:t xml:space="preserve"> S</w:t>
      </w:r>
      <w:r w:rsidRPr="001272BC">
        <w:t>pecifically</w:t>
      </w:r>
      <w:r w:rsidR="0071529E">
        <w:t>, we examine</w:t>
      </w:r>
      <w:r w:rsidRPr="001272BC">
        <w:t xml:space="preserve"> </w:t>
      </w:r>
      <w:r>
        <w:t xml:space="preserve">the implication of </w:t>
      </w:r>
      <w:r w:rsidRPr="001272BC">
        <w:t>family and institutional ownership</w:t>
      </w:r>
      <w:r>
        <w:t xml:space="preserve"> patterns </w:t>
      </w:r>
      <w:r w:rsidR="0071529E">
        <w:t xml:space="preserve">on </w:t>
      </w:r>
      <w:r>
        <w:t xml:space="preserve">firm performance. Many </w:t>
      </w:r>
      <w:r w:rsidR="00544893">
        <w:t xml:space="preserve">firm </w:t>
      </w:r>
      <w:r>
        <w:t xml:space="preserve">characteristics have been studied as part of </w:t>
      </w:r>
      <w:r w:rsidR="00700CFE">
        <w:t xml:space="preserve">the </w:t>
      </w:r>
      <w:r>
        <w:t xml:space="preserve">corporate governance structure but the resulting large literature is often inconsistent regarding the implication of a particular characteristic for firm performance. </w:t>
      </w:r>
      <w:r w:rsidRPr="001272BC">
        <w:t>A</w:t>
      </w:r>
      <w:r>
        <w:t>n important recent advance</w:t>
      </w:r>
      <w:r w:rsidR="00246044">
        <w:t>ment</w:t>
      </w:r>
      <w:r>
        <w:t xml:space="preserve"> in </w:t>
      </w:r>
      <w:r w:rsidRPr="001272BC">
        <w:t xml:space="preserve">the governance literature </w:t>
      </w:r>
      <w:r>
        <w:t>starts with a summary of the existing studies regarding governance and performance that laments the absence of “</w:t>
      </w:r>
      <w:r w:rsidRPr="001272BC">
        <w:t>a well-developed theory about the complex, multidimensional nature of corporate governance or a conceptual basis for selecting the governance characteristics t</w:t>
      </w:r>
      <w:r>
        <w:t>o include in an empirical study</w:t>
      </w:r>
      <w:r w:rsidRPr="001272BC">
        <w:t>” (</w:t>
      </w:r>
      <w:proofErr w:type="spellStart"/>
      <w:r>
        <w:t>Larcker</w:t>
      </w:r>
      <w:proofErr w:type="spellEnd"/>
      <w:r w:rsidRPr="001272BC">
        <w:t xml:space="preserve"> </w:t>
      </w:r>
      <w:r w:rsidRPr="00E667D7">
        <w:rPr>
          <w:i/>
        </w:rPr>
        <w:t>et al</w:t>
      </w:r>
      <w:r>
        <w:t>.</w:t>
      </w:r>
      <w:r w:rsidR="00246044">
        <w:t>,</w:t>
      </w:r>
      <w:r w:rsidRPr="001272BC">
        <w:t xml:space="preserve"> 2007)</w:t>
      </w:r>
      <w:r>
        <w:t xml:space="preserve">. While they do not develop a theory to fill the identified need, </w:t>
      </w:r>
      <w:proofErr w:type="spellStart"/>
      <w:r>
        <w:t>Larcker</w:t>
      </w:r>
      <w:proofErr w:type="spellEnd"/>
      <w:r>
        <w:t xml:space="preserve"> and his coauthors </w:t>
      </w:r>
      <w:r w:rsidR="00AC7101">
        <w:t xml:space="preserve">classify </w:t>
      </w:r>
      <w:r>
        <w:t>the set of</w:t>
      </w:r>
      <w:r w:rsidRPr="001272BC">
        <w:t xml:space="preserve"> 39 </w:t>
      </w:r>
      <w:r>
        <w:t xml:space="preserve">commonly considered </w:t>
      </w:r>
      <w:r w:rsidRPr="001272BC">
        <w:t xml:space="preserve">corporate governance </w:t>
      </w:r>
      <w:r>
        <w:t>characteristics to s</w:t>
      </w:r>
      <w:r w:rsidRPr="001272BC">
        <w:t>even areas of focus.</w:t>
      </w:r>
      <w:r w:rsidRPr="001272BC">
        <w:rPr>
          <w:rStyle w:val="FootnoteReference"/>
        </w:rPr>
        <w:footnoteReference w:id="2"/>
      </w:r>
      <w:r>
        <w:t xml:space="preserve"> Each of the</w:t>
      </w:r>
      <w:r w:rsidRPr="001272BC">
        <w:t xml:space="preserve"> focus areas has a </w:t>
      </w:r>
      <w:r>
        <w:t xml:space="preserve">separate </w:t>
      </w:r>
      <w:r w:rsidRPr="001272BC">
        <w:t>rich literature with conflicting evidence of a performance impact</w:t>
      </w:r>
      <w:r>
        <w:t>. W</w:t>
      </w:r>
      <w:r w:rsidRPr="001272BC">
        <w:t xml:space="preserve">e </w:t>
      </w:r>
      <w:r>
        <w:t>consider the potential impact of</w:t>
      </w:r>
      <w:r w:rsidRPr="001272BC">
        <w:t xml:space="preserve"> </w:t>
      </w:r>
      <w:r w:rsidRPr="001272BC">
        <w:lastRenderedPageBreak/>
        <w:t xml:space="preserve">five of these seven common corporate governance characteristics (board, stock ownership, institutional ownership, compensation, and debt); the other two </w:t>
      </w:r>
      <w:proofErr w:type="gramStart"/>
      <w:r w:rsidRPr="001272BC">
        <w:t>are not considered</w:t>
      </w:r>
      <w:proofErr w:type="gramEnd"/>
      <w:r w:rsidRPr="001272BC">
        <w:t xml:space="preserve"> because </w:t>
      </w:r>
      <w:r>
        <w:t xml:space="preserve">insurance </w:t>
      </w:r>
      <w:r w:rsidRPr="001272BC">
        <w:t xml:space="preserve">regulatory rules </w:t>
      </w:r>
      <w:r>
        <w:t>limi</w:t>
      </w:r>
      <w:r w:rsidRPr="001272BC">
        <w:t>t their application (e.g., anti-takeover provisions) or because information on the topic is not available for the firms studied (activist shareholders).</w:t>
      </w:r>
      <w:r>
        <w:t xml:space="preserve"> Despite the breadth of their governance study, the field evolves so rapidly that the </w:t>
      </w:r>
      <w:proofErr w:type="spellStart"/>
      <w:r>
        <w:t>Larcker</w:t>
      </w:r>
      <w:proofErr w:type="spellEnd"/>
      <w:r>
        <w:t xml:space="preserve"> study cannot be considered exhaustive. We build on the </w:t>
      </w:r>
      <w:proofErr w:type="spellStart"/>
      <w:r>
        <w:t>Larcker</w:t>
      </w:r>
      <w:proofErr w:type="spellEnd"/>
      <w:r>
        <w:t xml:space="preserve"> study by focusing on corporate ownership concentrations.</w:t>
      </w:r>
    </w:p>
    <w:p w:rsidR="00031131" w:rsidRDefault="00031131" w:rsidP="001C5112">
      <w:pPr>
        <w:spacing w:line="480" w:lineRule="auto"/>
        <w:ind w:firstLine="720"/>
        <w:jc w:val="both"/>
      </w:pPr>
      <w:r>
        <w:t xml:space="preserve">The ownership pattern of firms is important </w:t>
      </w:r>
      <w:r w:rsidR="00F106B8">
        <w:t xml:space="preserve">and current </w:t>
      </w:r>
      <w:r>
        <w:t xml:space="preserve">because the </w:t>
      </w:r>
      <w:r w:rsidRPr="001272BC">
        <w:t>increasing concentration of wealth in the U</w:t>
      </w:r>
      <w:r>
        <w:t>.</w:t>
      </w:r>
      <w:r w:rsidRPr="001272BC">
        <w:t>S</w:t>
      </w:r>
      <w:r>
        <w:t xml:space="preserve">. is contributing to a reversal of a decades-long trend toward corporate ownership dispersion; </w:t>
      </w:r>
      <w:r w:rsidR="00F106B8">
        <w:t xml:space="preserve">a </w:t>
      </w:r>
      <w:r w:rsidR="00F106B8" w:rsidRPr="001272BC">
        <w:t>stud</w:t>
      </w:r>
      <w:r w:rsidR="00F106B8">
        <w:t xml:space="preserve">y by Holderness </w:t>
      </w:r>
      <w:r w:rsidR="00F106B8">
        <w:rPr>
          <w:i/>
        </w:rPr>
        <w:t>et al.</w:t>
      </w:r>
      <w:r w:rsidR="00F106B8">
        <w:t xml:space="preserve"> (1999) </w:t>
      </w:r>
      <w:r w:rsidRPr="001272BC">
        <w:t>show</w:t>
      </w:r>
      <w:r w:rsidR="00246044">
        <w:t>s</w:t>
      </w:r>
      <w:r w:rsidRPr="001272BC">
        <w:t xml:space="preserve"> that publicly listed firms are </w:t>
      </w:r>
      <w:r>
        <w:t>increasingly closely held</w:t>
      </w:r>
      <w:r w:rsidRPr="001272BC">
        <w:t xml:space="preserve"> </w:t>
      </w:r>
      <w:r>
        <w:t xml:space="preserve">and </w:t>
      </w:r>
      <w:r w:rsidRPr="001272BC">
        <w:t>often family controlled</w:t>
      </w:r>
      <w:r w:rsidR="00F106B8">
        <w:t xml:space="preserve">, </w:t>
      </w:r>
      <w:r w:rsidR="00544893">
        <w:t>reversing a trend</w:t>
      </w:r>
      <w:r w:rsidR="00F106B8">
        <w:t xml:space="preserve"> observed </w:t>
      </w:r>
      <w:r w:rsidR="00544893">
        <w:t>almost a</w:t>
      </w:r>
      <w:r w:rsidR="00F106B8">
        <w:t xml:space="preserve"> century ago by</w:t>
      </w:r>
      <w:r w:rsidRPr="001272BC">
        <w:t xml:space="preserve"> </w:t>
      </w:r>
      <w:proofErr w:type="spellStart"/>
      <w:r w:rsidRPr="001272BC">
        <w:t>Berle</w:t>
      </w:r>
      <w:proofErr w:type="spellEnd"/>
      <w:r w:rsidRPr="001272BC">
        <w:t xml:space="preserve"> </w:t>
      </w:r>
      <w:r w:rsidR="00D2515D">
        <w:t>and</w:t>
      </w:r>
      <w:r w:rsidRPr="001272BC">
        <w:t xml:space="preserve"> Means </w:t>
      </w:r>
      <w:r w:rsidR="00F106B8">
        <w:t>(</w:t>
      </w:r>
      <w:r w:rsidRPr="001272BC">
        <w:t>1932)</w:t>
      </w:r>
      <w:r>
        <w:t>.</w:t>
      </w:r>
      <w:r w:rsidRPr="001272BC">
        <w:rPr>
          <w:rStyle w:val="FootnoteReference"/>
        </w:rPr>
        <w:footnoteReference w:id="3"/>
      </w:r>
    </w:p>
    <w:p w:rsidR="003535CC" w:rsidRPr="004415AA" w:rsidRDefault="003535CC" w:rsidP="00204819">
      <w:pPr>
        <w:pStyle w:val="BodyText"/>
        <w:spacing w:line="480" w:lineRule="auto"/>
        <w:ind w:firstLine="720"/>
        <w:jc w:val="both"/>
        <w:rPr>
          <w:w w:val="99"/>
          <w:position w:val="10"/>
        </w:rPr>
      </w:pPr>
      <w:r w:rsidRPr="001272BC">
        <w:t xml:space="preserve">The </w:t>
      </w:r>
      <w:r w:rsidR="004415AA" w:rsidRPr="001272BC">
        <w:t>family</w:t>
      </w:r>
      <w:r w:rsidR="005B6DA4">
        <w:t>-performance</w:t>
      </w:r>
      <w:r w:rsidR="004415AA" w:rsidRPr="001272BC">
        <w:t xml:space="preserve"> literature </w:t>
      </w:r>
      <w:r w:rsidR="005B6DA4">
        <w:t xml:space="preserve">often </w:t>
      </w:r>
      <w:r w:rsidRPr="001272BC">
        <w:t xml:space="preserve">describes </w:t>
      </w:r>
      <w:r w:rsidR="00700CFE">
        <w:t xml:space="preserve">a </w:t>
      </w:r>
      <w:r w:rsidRPr="001272BC">
        <w:t>family firm as relatively small, cost inefficient, and</w:t>
      </w:r>
      <w:r w:rsidR="00544893">
        <w:t xml:space="preserve"> low performing</w:t>
      </w:r>
      <w:r w:rsidR="00544893" w:rsidRPr="001272BC">
        <w:t xml:space="preserve"> </w:t>
      </w:r>
      <w:r w:rsidRPr="001272BC">
        <w:t>as a result of nepotism and weak risk-bearing attributes (</w:t>
      </w:r>
      <w:proofErr w:type="spellStart"/>
      <w:r w:rsidRPr="001272BC">
        <w:t>Habbershon</w:t>
      </w:r>
      <w:proofErr w:type="spellEnd"/>
      <w:r w:rsidRPr="001272BC">
        <w:t xml:space="preserve"> </w:t>
      </w:r>
      <w:r w:rsidR="00D2515D">
        <w:t>and</w:t>
      </w:r>
      <w:r w:rsidRPr="001272BC">
        <w:t xml:space="preserve"> Williams 1999). “To the extent that top executives are selected and rewarded on the basis of family ties rather than professional expertise or managerial proficiency (Fukuyama 1995), that family members are compensated, monitored, and disciplined differently than nonfamily members (Schulze </w:t>
      </w:r>
      <w:r w:rsidRPr="001272BC">
        <w:rPr>
          <w:i/>
        </w:rPr>
        <w:t xml:space="preserve">et al. </w:t>
      </w:r>
      <w:r w:rsidRPr="001272BC">
        <w:t>2001), and that family firms are less likely to use stock options to compensate top managers over concerns of diluting family control, then family firms are less likely to attract top quality external managers than their counterparts in managerial and alliance governed firms</w:t>
      </w:r>
      <w:r w:rsidR="00031131">
        <w:t xml:space="preserve">” </w:t>
      </w:r>
      <w:r w:rsidR="009614A7">
        <w:t>(</w:t>
      </w:r>
      <w:r w:rsidR="00031131" w:rsidRPr="001272BC">
        <w:t>C</w:t>
      </w:r>
      <w:r w:rsidR="00031131">
        <w:t>arney 2005, p. 256)</w:t>
      </w:r>
      <w:r w:rsidR="0005313A" w:rsidRPr="001272BC">
        <w:t>.</w:t>
      </w:r>
      <w:r w:rsidRPr="001272BC">
        <w:t xml:space="preserve"> </w:t>
      </w:r>
      <w:r w:rsidR="005B6DA4">
        <w:t>Other studies</w:t>
      </w:r>
      <w:r w:rsidR="005B496C" w:rsidRPr="001272BC">
        <w:t xml:space="preserve"> a</w:t>
      </w:r>
      <w:r w:rsidRPr="001272BC">
        <w:t>rgu</w:t>
      </w:r>
      <w:r w:rsidR="005B6DA4">
        <w:t>e</w:t>
      </w:r>
      <w:r w:rsidRPr="001272BC">
        <w:t xml:space="preserve"> </w:t>
      </w:r>
      <w:r w:rsidR="005B6DA4">
        <w:t xml:space="preserve">that </w:t>
      </w:r>
      <w:r w:rsidRPr="001272BC">
        <w:t xml:space="preserve">the </w:t>
      </w:r>
      <w:r w:rsidR="009E77EF">
        <w:t>coincidence</w:t>
      </w:r>
      <w:r w:rsidR="009E77EF" w:rsidRPr="001272BC">
        <w:t xml:space="preserve"> </w:t>
      </w:r>
      <w:r w:rsidRPr="001272BC">
        <w:t xml:space="preserve">of </w:t>
      </w:r>
      <w:r w:rsidRPr="001272BC">
        <w:lastRenderedPageBreak/>
        <w:t>ownership and control reduces agency problems (</w:t>
      </w:r>
      <w:proofErr w:type="spellStart"/>
      <w:r w:rsidRPr="001272BC">
        <w:t>Alchian</w:t>
      </w:r>
      <w:proofErr w:type="spellEnd"/>
      <w:r w:rsidRPr="001272BC">
        <w:t xml:space="preserve"> </w:t>
      </w:r>
      <w:r w:rsidR="00D2515D">
        <w:t>and</w:t>
      </w:r>
      <w:r w:rsidRPr="001272BC">
        <w:t xml:space="preserve"> </w:t>
      </w:r>
      <w:proofErr w:type="spellStart"/>
      <w:r w:rsidRPr="001272BC">
        <w:t>Demsetz</w:t>
      </w:r>
      <w:proofErr w:type="spellEnd"/>
      <w:r w:rsidR="00E765FE">
        <w:t>,</w:t>
      </w:r>
      <w:r w:rsidRPr="001272BC">
        <w:t xml:space="preserve"> 1972</w:t>
      </w:r>
      <w:r w:rsidR="0005313A" w:rsidRPr="001272BC">
        <w:t xml:space="preserve">; Klein </w:t>
      </w:r>
      <w:r w:rsidR="001E163F">
        <w:rPr>
          <w:i/>
        </w:rPr>
        <w:t>et al.</w:t>
      </w:r>
      <w:r w:rsidR="00E765FE">
        <w:rPr>
          <w:i/>
        </w:rPr>
        <w:t>,</w:t>
      </w:r>
      <w:r w:rsidR="00156A6C">
        <w:rPr>
          <w:i/>
        </w:rPr>
        <w:t xml:space="preserve"> </w:t>
      </w:r>
      <w:r w:rsidR="0005313A" w:rsidRPr="001272BC">
        <w:t>2005</w:t>
      </w:r>
      <w:r w:rsidRPr="001272BC">
        <w:t xml:space="preserve">). </w:t>
      </w:r>
      <w:r w:rsidR="002F182D" w:rsidRPr="001272BC">
        <w:t xml:space="preserve">Klein </w:t>
      </w:r>
      <w:r w:rsidR="002F182D" w:rsidRPr="001272BC">
        <w:rPr>
          <w:i/>
        </w:rPr>
        <w:t xml:space="preserve">et al. </w:t>
      </w:r>
      <w:proofErr w:type="gramStart"/>
      <w:r w:rsidR="002F182D">
        <w:t>argue</w:t>
      </w:r>
      <w:r w:rsidR="00700CFE">
        <w:t xml:space="preserve"> that</w:t>
      </w:r>
      <w:proofErr w:type="gramEnd"/>
      <w:r w:rsidR="002F182D">
        <w:t xml:space="preserve"> </w:t>
      </w:r>
      <w:r w:rsidR="002F182D" w:rsidRPr="001272BC">
        <w:t xml:space="preserve">“the family-owned firm may be better viewed from the vantage point of </w:t>
      </w:r>
      <w:r w:rsidR="00D17E48">
        <w:t>S</w:t>
      </w:r>
      <w:r w:rsidR="00D17E48" w:rsidRPr="001272BC">
        <w:t xml:space="preserve">tewardship </w:t>
      </w:r>
      <w:r w:rsidR="002F182D" w:rsidRPr="001272BC">
        <w:t>theory, which sees the role of the board as providing service and advice rather than monitoring and control.”</w:t>
      </w:r>
    </w:p>
    <w:p w:rsidR="00216559" w:rsidRPr="001272BC" w:rsidRDefault="00C0469E" w:rsidP="00216559">
      <w:pPr>
        <w:pStyle w:val="BodyText"/>
        <w:spacing w:line="480" w:lineRule="auto"/>
        <w:ind w:firstLine="720"/>
        <w:jc w:val="both"/>
      </w:pPr>
      <w:r>
        <w:t>S</w:t>
      </w:r>
      <w:r w:rsidR="003535CC" w:rsidRPr="001272BC">
        <w:t xml:space="preserve">tewardship </w:t>
      </w:r>
      <w:r w:rsidR="00465E4A">
        <w:t xml:space="preserve">theory </w:t>
      </w:r>
      <w:r>
        <w:t>posits that the utility of</w:t>
      </w:r>
      <w:r w:rsidR="00465E4A">
        <w:t xml:space="preserve"> some managers</w:t>
      </w:r>
      <w:r w:rsidR="003535CC" w:rsidRPr="001272BC">
        <w:t xml:space="preserve"> </w:t>
      </w:r>
      <w:r>
        <w:t>is linked</w:t>
      </w:r>
      <w:r w:rsidRPr="001272BC">
        <w:t xml:space="preserve"> </w:t>
      </w:r>
      <w:r w:rsidR="003535CC" w:rsidRPr="001272BC">
        <w:t>with the organization</w:t>
      </w:r>
      <w:r>
        <w:t>; they</w:t>
      </w:r>
      <w:r w:rsidR="003535CC" w:rsidRPr="001272BC">
        <w:t xml:space="preserve"> a</w:t>
      </w:r>
      <w:r w:rsidR="00465E4A">
        <w:t xml:space="preserve">re committed to </w:t>
      </w:r>
      <w:r w:rsidR="00E765FE">
        <w:t>its success</w:t>
      </w:r>
      <w:r w:rsidR="003535CC" w:rsidRPr="001272BC">
        <w:t xml:space="preserve"> even at personal sacrifice (Davis 2005). </w:t>
      </w:r>
      <w:r>
        <w:t>T</w:t>
      </w:r>
      <w:r w:rsidR="00465E4A" w:rsidRPr="001272BC">
        <w:t>hese attitudes are observed in businesses controlled by individuals or combinations of family members where manager-owner distinctions are blurred</w:t>
      </w:r>
      <w:r>
        <w:t xml:space="preserve"> (Klein </w:t>
      </w:r>
      <w:r>
        <w:rPr>
          <w:i/>
        </w:rPr>
        <w:t>et al.</w:t>
      </w:r>
      <w:r w:rsidRPr="00C0469E">
        <w:t xml:space="preserve"> 2005)</w:t>
      </w:r>
      <w:r w:rsidR="00465E4A">
        <w:t>.</w:t>
      </w:r>
      <w:r w:rsidR="00465E4A" w:rsidRPr="001272BC">
        <w:rPr>
          <w:rStyle w:val="FootnoteReference"/>
        </w:rPr>
        <w:footnoteReference w:id="4"/>
      </w:r>
      <w:r w:rsidR="00216559">
        <w:t xml:space="preserve"> </w:t>
      </w:r>
      <w:proofErr w:type="spellStart"/>
      <w:r w:rsidR="00780F6D" w:rsidRPr="001272BC">
        <w:t>Corbetta</w:t>
      </w:r>
      <w:proofErr w:type="spellEnd"/>
      <w:r w:rsidR="00780F6D" w:rsidRPr="001272BC">
        <w:t xml:space="preserve"> </w:t>
      </w:r>
      <w:r w:rsidR="00D2515D">
        <w:t>and</w:t>
      </w:r>
      <w:r w:rsidR="00780F6D" w:rsidRPr="001272BC">
        <w:t xml:space="preserve"> </w:t>
      </w:r>
      <w:proofErr w:type="spellStart"/>
      <w:r w:rsidR="00780F6D" w:rsidRPr="001272BC">
        <w:t>Salvato</w:t>
      </w:r>
      <w:proofErr w:type="spellEnd"/>
      <w:r w:rsidR="00780F6D" w:rsidRPr="001272BC">
        <w:t xml:space="preserve"> (2004) observe that the governance-performance relationship is an open question when ownership is concentrated in the hands of families. </w:t>
      </w:r>
      <w:r w:rsidR="00216559">
        <w:t xml:space="preserve">Hypothesis 1 </w:t>
      </w:r>
      <w:r w:rsidR="00856F02">
        <w:t xml:space="preserve">of this paper </w:t>
      </w:r>
      <w:r w:rsidR="00216559">
        <w:t>tests for this coincidence of</w:t>
      </w:r>
      <w:r w:rsidR="00216559" w:rsidRPr="001272BC">
        <w:t xml:space="preserve"> principal and agent </w:t>
      </w:r>
      <w:r w:rsidR="00216559">
        <w:t xml:space="preserve">interests in the case of a family </w:t>
      </w:r>
      <w:r w:rsidR="009614A7">
        <w:t xml:space="preserve">controlled </w:t>
      </w:r>
      <w:r w:rsidR="00216559">
        <w:t>firm</w:t>
      </w:r>
      <w:r w:rsidR="00216559" w:rsidRPr="001272BC">
        <w:t>.</w:t>
      </w:r>
    </w:p>
    <w:p w:rsidR="003535CC" w:rsidRPr="00CD0337" w:rsidRDefault="00216559" w:rsidP="00E13E10">
      <w:pPr>
        <w:pStyle w:val="BodyText"/>
        <w:spacing w:after="240"/>
        <w:jc w:val="both"/>
        <w:rPr>
          <w:i/>
        </w:rPr>
      </w:pPr>
      <w:r w:rsidRPr="00CD0337">
        <w:rPr>
          <w:i/>
        </w:rPr>
        <w:t>Hypothesis 1: Consistent with stewardship theory, family controlled firms experience improved firm performance.</w:t>
      </w:r>
    </w:p>
    <w:p w:rsidR="00BA1090" w:rsidRDefault="00053A4B" w:rsidP="00E67CA5">
      <w:pPr>
        <w:pStyle w:val="BodyText"/>
        <w:spacing w:line="480" w:lineRule="auto"/>
        <w:ind w:firstLine="720"/>
        <w:jc w:val="both"/>
      </w:pPr>
      <w:r w:rsidRPr="001272BC">
        <w:t xml:space="preserve">In addition to </w:t>
      </w:r>
      <w:r w:rsidR="00CB7B5D" w:rsidRPr="001272BC">
        <w:t xml:space="preserve">firm-specific </w:t>
      </w:r>
      <w:r w:rsidRPr="001272BC">
        <w:t>family ownership influences</w:t>
      </w:r>
      <w:r w:rsidR="00CB7B5D" w:rsidRPr="001272BC">
        <w:t>,</w:t>
      </w:r>
      <w:r w:rsidRPr="001272BC">
        <w:t xml:space="preserve"> we </w:t>
      </w:r>
      <w:r w:rsidR="00340924">
        <w:t>focus on</w:t>
      </w:r>
      <w:r w:rsidRPr="001272BC">
        <w:t xml:space="preserve"> </w:t>
      </w:r>
      <w:r w:rsidR="007529A9">
        <w:t xml:space="preserve">two </w:t>
      </w:r>
      <w:r w:rsidR="00596B9A">
        <w:t xml:space="preserve">aspects of </w:t>
      </w:r>
      <w:r w:rsidRPr="001272BC">
        <w:t>institutional investor influences.</w:t>
      </w:r>
      <w:r w:rsidR="00BA1090" w:rsidRPr="001272BC">
        <w:t xml:space="preserve"> </w:t>
      </w:r>
      <w:r w:rsidR="00E67CA5" w:rsidRPr="001272BC">
        <w:t xml:space="preserve">In the agency theory context, external monitors counter managerial incentives to expropriate firm value for personal gain. </w:t>
      </w:r>
      <w:r w:rsidR="002F182D">
        <w:t>I</w:t>
      </w:r>
      <w:r w:rsidR="00E67CA5" w:rsidRPr="001272BC">
        <w:t>nstitutional investors, large shareholders of the firm, can become monitors of management with the goal of increasing firm value and, implicitly, protecting minority shareholder rights</w:t>
      </w:r>
      <w:r w:rsidR="002F182D">
        <w:t xml:space="preserve"> (Pound 1991; Black 1992)</w:t>
      </w:r>
      <w:r w:rsidR="00E67CA5" w:rsidRPr="001272BC">
        <w:t xml:space="preserve">. </w:t>
      </w:r>
      <w:r w:rsidR="002F182D">
        <w:t xml:space="preserve">However, empirical support for the monitoring argument </w:t>
      </w:r>
      <w:r w:rsidR="00216559" w:rsidRPr="001272BC">
        <w:t>is not strong; investments by large investors tend to be persistent over time providing support for management rather than posing a threat in the face of poor performance</w:t>
      </w:r>
      <w:r w:rsidR="00001753">
        <w:t>,</w:t>
      </w:r>
      <w:r w:rsidR="00216559" w:rsidRPr="00216559">
        <w:t xml:space="preserve"> </w:t>
      </w:r>
      <w:r w:rsidR="002F182D">
        <w:t xml:space="preserve">and </w:t>
      </w:r>
      <w:r w:rsidR="00216559" w:rsidRPr="001272BC">
        <w:t xml:space="preserve">corporate expenses, such as CEO compensation, tend to be higher in the presence of </w:t>
      </w:r>
      <w:proofErr w:type="spellStart"/>
      <w:r w:rsidR="00216559" w:rsidRPr="001272BC">
        <w:t>blockholder</w:t>
      </w:r>
      <w:proofErr w:type="spellEnd"/>
      <w:r w:rsidR="00216559" w:rsidRPr="001272BC">
        <w:t xml:space="preserve"> involvement</w:t>
      </w:r>
      <w:r w:rsidR="002F182D">
        <w:t xml:space="preserve"> (</w:t>
      </w:r>
      <w:proofErr w:type="spellStart"/>
      <w:r w:rsidR="002F182D">
        <w:t>Mehran</w:t>
      </w:r>
      <w:proofErr w:type="spellEnd"/>
      <w:r w:rsidR="002F182D">
        <w:t xml:space="preserve"> 1995)</w:t>
      </w:r>
      <w:r w:rsidR="00216559" w:rsidRPr="001272BC">
        <w:t>.</w:t>
      </w:r>
      <w:r w:rsidR="00216559">
        <w:t xml:space="preserve"> </w:t>
      </w:r>
      <w:r w:rsidR="00310455" w:rsidRPr="001272BC">
        <w:t xml:space="preserve">Cornett </w:t>
      </w:r>
      <w:r w:rsidR="00310455" w:rsidRPr="001272BC">
        <w:rPr>
          <w:i/>
        </w:rPr>
        <w:t>et al</w:t>
      </w:r>
      <w:r w:rsidR="004415AA">
        <w:t>. (2007</w:t>
      </w:r>
      <w:r w:rsidR="00310455" w:rsidRPr="001272BC">
        <w:t>)</w:t>
      </w:r>
      <w:r w:rsidR="002F182D">
        <w:t xml:space="preserve">, </w:t>
      </w:r>
      <w:r w:rsidR="002F182D">
        <w:lastRenderedPageBreak/>
        <w:t xml:space="preserve">finding a weak relationship between </w:t>
      </w:r>
      <w:proofErr w:type="spellStart"/>
      <w:r w:rsidR="002F182D">
        <w:t>blockholder</w:t>
      </w:r>
      <w:proofErr w:type="spellEnd"/>
      <w:r w:rsidR="002F182D">
        <w:t xml:space="preserve"> </w:t>
      </w:r>
      <w:r w:rsidR="00597BB4">
        <w:t xml:space="preserve">investment </w:t>
      </w:r>
      <w:r w:rsidR="002F182D">
        <w:t>and firm performance,</w:t>
      </w:r>
      <w:r w:rsidR="00310455" w:rsidRPr="001272BC">
        <w:t xml:space="preserve"> </w:t>
      </w:r>
      <w:r w:rsidR="0075170A">
        <w:t xml:space="preserve">note that </w:t>
      </w:r>
      <w:proofErr w:type="spellStart"/>
      <w:r w:rsidR="0075170A">
        <w:t>blockholders</w:t>
      </w:r>
      <w:proofErr w:type="spellEnd"/>
      <w:r w:rsidR="0075170A">
        <w:t xml:space="preserve"> improve performance only in cases where there is no prior business relationship (“pressure-insensitive”). However, they note a trend in prior </w:t>
      </w:r>
      <w:proofErr w:type="gramStart"/>
      <w:r w:rsidR="0075170A">
        <w:t>literature which</w:t>
      </w:r>
      <w:proofErr w:type="gramEnd"/>
      <w:r w:rsidR="0075170A">
        <w:t xml:space="preserve"> associates positive firm performance with the presence of large shareholders. </w:t>
      </w:r>
      <w:r w:rsidR="00E4478A" w:rsidRPr="001272BC">
        <w:t xml:space="preserve"> </w:t>
      </w:r>
    </w:p>
    <w:p w:rsidR="00E67CA5" w:rsidRPr="00CD0337" w:rsidRDefault="00E67CA5" w:rsidP="00E67CA5">
      <w:pPr>
        <w:pStyle w:val="BodyText"/>
        <w:spacing w:after="240"/>
        <w:jc w:val="both"/>
        <w:rPr>
          <w:i/>
        </w:rPr>
      </w:pPr>
      <w:r w:rsidRPr="00CD0337">
        <w:rPr>
          <w:i/>
        </w:rPr>
        <w:t>Hypothesis 2: Firm performance is positively associated with levels of institutional investor</w:t>
      </w:r>
      <w:r w:rsidR="007529A9">
        <w:rPr>
          <w:i/>
        </w:rPr>
        <w:t xml:space="preserve"> (</w:t>
      </w:r>
      <w:proofErr w:type="spellStart"/>
      <w:r w:rsidR="007529A9">
        <w:rPr>
          <w:i/>
        </w:rPr>
        <w:t>blockholder</w:t>
      </w:r>
      <w:proofErr w:type="spellEnd"/>
      <w:r w:rsidR="007529A9">
        <w:rPr>
          <w:i/>
        </w:rPr>
        <w:t>)</w:t>
      </w:r>
      <w:r w:rsidRPr="00CD0337">
        <w:rPr>
          <w:i/>
        </w:rPr>
        <w:t xml:space="preserve"> ownership.</w:t>
      </w:r>
    </w:p>
    <w:p w:rsidR="00E13E10" w:rsidRDefault="00C34C49" w:rsidP="00E67CA5">
      <w:pPr>
        <w:pStyle w:val="BodyText"/>
        <w:spacing w:line="480" w:lineRule="auto"/>
        <w:ind w:firstLine="720"/>
        <w:jc w:val="both"/>
      </w:pPr>
      <w:r>
        <w:t xml:space="preserve">The behavior of institutional investors gives rise to another </w:t>
      </w:r>
      <w:r w:rsidR="0068587B" w:rsidRPr="003D2076">
        <w:t>ownership pa</w:t>
      </w:r>
      <w:r w:rsidR="0068587B">
        <w:t>ttern</w:t>
      </w:r>
      <w:r w:rsidR="00DE220B">
        <w:t xml:space="preserve"> that is only recently being studied.</w:t>
      </w:r>
      <w:r w:rsidR="0068587B" w:rsidRPr="003D2076">
        <w:t xml:space="preserve"> </w:t>
      </w:r>
      <w:r w:rsidR="00DE220B">
        <w:t>I</w:t>
      </w:r>
      <w:r w:rsidR="0068587B" w:rsidRPr="003D2076">
        <w:t xml:space="preserve">ndividuals who </w:t>
      </w:r>
      <w:r w:rsidR="00DE220B">
        <w:t xml:space="preserve">invest with mutual funds or institutional investors </w:t>
      </w:r>
      <w:r w:rsidR="0068587B" w:rsidRPr="003D2076">
        <w:t xml:space="preserve">are </w:t>
      </w:r>
      <w:r w:rsidR="0068587B">
        <w:t>less</w:t>
      </w:r>
      <w:r w:rsidR="0068587B" w:rsidRPr="003D2076">
        <w:t xml:space="preserve"> interested in the performance of particular firms </w:t>
      </w:r>
      <w:r w:rsidR="0068587B">
        <w:t>than in the aggregate performance of</w:t>
      </w:r>
      <w:r w:rsidR="0068587B" w:rsidRPr="003D2076">
        <w:t xml:space="preserve"> a grouping of firms represented in </w:t>
      </w:r>
      <w:r w:rsidR="00DE220B">
        <w:t>the</w:t>
      </w:r>
      <w:r w:rsidR="0068587B">
        <w:t xml:space="preserve"> fund</w:t>
      </w:r>
      <w:r w:rsidR="00DE220B">
        <w:t xml:space="preserve"> portfolio</w:t>
      </w:r>
      <w:r w:rsidR="0068587B">
        <w:t>.</w:t>
      </w:r>
      <w:r w:rsidR="0068587B" w:rsidRPr="00540368">
        <w:t xml:space="preserve"> </w:t>
      </w:r>
      <w:r w:rsidR="00DE220B">
        <w:t>The large concentration of wealth held in these funds gives limited opportunities for the funds to concentrate on particular firms. Instead they diversify their holdings and hope that the sectors will perform well. A question raised is whether the fund managers do more than hope for sector performance. A</w:t>
      </w:r>
      <w:r w:rsidR="00E13E10">
        <w:t xml:space="preserve"> hypothesi</w:t>
      </w:r>
      <w:r w:rsidR="009D1158">
        <w:t>zed</w:t>
      </w:r>
      <w:r w:rsidR="00E13E10">
        <w:t xml:space="preserve"> noncompetitive market effect associated </w:t>
      </w:r>
      <w:r w:rsidR="00690002">
        <w:t xml:space="preserve">with </w:t>
      </w:r>
      <w:r w:rsidR="00E13E10" w:rsidRPr="001272BC">
        <w:t>ownership of corporate competitors by a div</w:t>
      </w:r>
      <w:r w:rsidR="00E13E10">
        <w:t>ersified institutional investor</w:t>
      </w:r>
      <w:r w:rsidR="009D1158">
        <w:t xml:space="preserve"> </w:t>
      </w:r>
      <w:r w:rsidR="00DE220B">
        <w:t xml:space="preserve">is found by </w:t>
      </w:r>
      <w:proofErr w:type="spellStart"/>
      <w:r w:rsidR="00E13E10">
        <w:t>Azur</w:t>
      </w:r>
      <w:proofErr w:type="spellEnd"/>
      <w:r w:rsidR="00E13E10">
        <w:t xml:space="preserve"> </w:t>
      </w:r>
      <w:r w:rsidR="00E13E10" w:rsidRPr="00A7047F">
        <w:rPr>
          <w:i/>
        </w:rPr>
        <w:t xml:space="preserve">et al. </w:t>
      </w:r>
      <w:r w:rsidR="00DE220B">
        <w:t>(2</w:t>
      </w:r>
      <w:r w:rsidR="00E13E10">
        <w:t>015).</w:t>
      </w:r>
      <w:r w:rsidR="00E13E10" w:rsidRPr="001272BC">
        <w:t xml:space="preserve"> </w:t>
      </w:r>
      <w:r w:rsidR="00DE220B">
        <w:t>T</w:t>
      </w:r>
      <w:r w:rsidR="00E13E10" w:rsidRPr="001272BC">
        <w:t xml:space="preserve">hey determine that airline ticket prices on select routes </w:t>
      </w:r>
      <w:r w:rsidR="00001753" w:rsidRPr="001272BC">
        <w:t>w</w:t>
      </w:r>
      <w:r w:rsidR="00001753">
        <w:t>ere</w:t>
      </w:r>
      <w:r w:rsidR="00001753" w:rsidRPr="001272BC">
        <w:t xml:space="preserve"> </w:t>
      </w:r>
      <w:r w:rsidR="00E13E10" w:rsidRPr="001272BC">
        <w:t>10</w:t>
      </w:r>
      <w:r w:rsidR="00DE220B">
        <w:t xml:space="preserve"> percent</w:t>
      </w:r>
      <w:r w:rsidR="00DE220B" w:rsidRPr="001272BC">
        <w:t xml:space="preserve"> </w:t>
      </w:r>
      <w:r w:rsidR="00E13E10" w:rsidRPr="001272BC">
        <w:t xml:space="preserve">higher due to common ownership by </w:t>
      </w:r>
      <w:r w:rsidR="00DE220B">
        <w:t>a specific institutional investor</w:t>
      </w:r>
      <w:r w:rsidR="00E13E10" w:rsidRPr="001272BC">
        <w:t>.</w:t>
      </w:r>
      <w:r w:rsidR="00E13E10">
        <w:t xml:space="preserve"> </w:t>
      </w:r>
      <w:r w:rsidR="00E13E10" w:rsidRPr="001272BC">
        <w:t>The</w:t>
      </w:r>
      <w:r w:rsidR="007529A9">
        <w:t xml:space="preserve"> authors argue</w:t>
      </w:r>
      <w:r w:rsidR="00E13E10" w:rsidRPr="001272BC">
        <w:t xml:space="preserve"> that</w:t>
      </w:r>
      <w:r w:rsidR="007529A9" w:rsidRPr="007529A9">
        <w:t xml:space="preserve"> </w:t>
      </w:r>
      <w:r w:rsidR="007529A9" w:rsidRPr="001272BC">
        <w:t>th</w:t>
      </w:r>
      <w:r w:rsidR="007529A9">
        <w:t>is</w:t>
      </w:r>
      <w:r w:rsidR="007529A9" w:rsidRPr="001272BC">
        <w:t xml:space="preserve"> diversified institutional</w:t>
      </w:r>
      <w:r w:rsidR="007529A9">
        <w:t xml:space="preserve"> </w:t>
      </w:r>
      <w:r w:rsidR="007529A9" w:rsidRPr="001272BC">
        <w:t xml:space="preserve">owner of </w:t>
      </w:r>
      <w:r w:rsidR="007529A9">
        <w:t>the</w:t>
      </w:r>
      <w:r w:rsidR="007529A9" w:rsidRPr="001272BC">
        <w:t xml:space="preserve"> majority of the firms in an industry</w:t>
      </w:r>
      <w:r w:rsidR="007529A9">
        <w:t xml:space="preserve"> focuses on</w:t>
      </w:r>
      <w:r w:rsidR="00E13E10" w:rsidRPr="001272BC">
        <w:t xml:space="preserve"> industry performance as opposed to firm specific performance.</w:t>
      </w:r>
      <w:r w:rsidR="00E13E10">
        <w:t xml:space="preserve"> </w:t>
      </w:r>
      <w:r w:rsidR="00E67CA5">
        <w:t>However</w:t>
      </w:r>
      <w:r w:rsidR="00E13E10" w:rsidRPr="001272BC">
        <w:t xml:space="preserve">, due to the ability to devote resources toward research and expertise in choosing investments, </w:t>
      </w:r>
      <w:proofErr w:type="gramStart"/>
      <w:r w:rsidR="00E67CA5">
        <w:t xml:space="preserve">it is also possible that </w:t>
      </w:r>
      <w:r w:rsidR="00E13E10" w:rsidRPr="001272BC">
        <w:t>institutional investors may</w:t>
      </w:r>
      <w:proofErr w:type="gramEnd"/>
      <w:r w:rsidR="00E13E10" w:rsidRPr="001272BC">
        <w:t xml:space="preserve"> invest in firms expected to outperform others in their industry.</w:t>
      </w:r>
      <w:r w:rsidR="00E67CA5">
        <w:t xml:space="preserve"> W</w:t>
      </w:r>
      <w:r w:rsidR="00E13E10" w:rsidRPr="001272BC">
        <w:t xml:space="preserve">e </w:t>
      </w:r>
      <w:r w:rsidR="00E67CA5">
        <w:t>construct Hypothesis 3</w:t>
      </w:r>
      <w:r w:rsidR="00E13E10">
        <w:t xml:space="preserve"> to consider the possibility of an </w:t>
      </w:r>
      <w:r w:rsidR="00DE220B">
        <w:t xml:space="preserve">institutional investor-industry effect with a focus on the </w:t>
      </w:r>
      <w:proofErr w:type="spellStart"/>
      <w:r w:rsidR="00DE220B">
        <w:t>Azur</w:t>
      </w:r>
      <w:proofErr w:type="spellEnd"/>
      <w:r w:rsidR="00DE220B">
        <w:t>-identified investor</w:t>
      </w:r>
      <w:r w:rsidR="00E13E10" w:rsidRPr="001272BC">
        <w:t>.</w:t>
      </w:r>
    </w:p>
    <w:p w:rsidR="009D1158" w:rsidRPr="00CD0337" w:rsidRDefault="00E13E10" w:rsidP="00183846">
      <w:pPr>
        <w:pStyle w:val="BodyText"/>
        <w:spacing w:after="240"/>
        <w:jc w:val="both"/>
        <w:rPr>
          <w:i/>
        </w:rPr>
      </w:pPr>
      <w:r w:rsidRPr="00CD0337">
        <w:rPr>
          <w:i/>
        </w:rPr>
        <w:t>Hypothesis 3: Firm performance is positively associated with</w:t>
      </w:r>
      <w:r w:rsidR="007529A9">
        <w:rPr>
          <w:i/>
        </w:rPr>
        <w:t xml:space="preserve"> an ownership stake by</w:t>
      </w:r>
      <w:r w:rsidRPr="00CD0337">
        <w:rPr>
          <w:i/>
        </w:rPr>
        <w:t xml:space="preserve"> </w:t>
      </w:r>
      <w:r w:rsidR="00DE220B">
        <w:rPr>
          <w:i/>
        </w:rPr>
        <w:t>large institutional investors</w:t>
      </w:r>
      <w:r w:rsidRPr="00CD0337">
        <w:rPr>
          <w:i/>
        </w:rPr>
        <w:t>.</w:t>
      </w:r>
    </w:p>
    <w:p w:rsidR="00183846" w:rsidRDefault="00183846" w:rsidP="00183846">
      <w:pPr>
        <w:autoSpaceDE w:val="0"/>
        <w:autoSpaceDN w:val="0"/>
        <w:adjustRightInd w:val="0"/>
        <w:spacing w:line="480" w:lineRule="auto"/>
        <w:ind w:firstLine="720"/>
        <w:jc w:val="both"/>
        <w:rPr>
          <w:color w:val="232323"/>
        </w:rPr>
      </w:pPr>
      <w:r>
        <w:rPr>
          <w:color w:val="232323"/>
        </w:rPr>
        <w:t>A final ownership feature we consider is m</w:t>
      </w:r>
      <w:r w:rsidRPr="00A15A48">
        <w:rPr>
          <w:color w:val="232323"/>
        </w:rPr>
        <w:t>anagerial ownership</w:t>
      </w:r>
      <w:r>
        <w:rPr>
          <w:color w:val="232323"/>
        </w:rPr>
        <w:t xml:space="preserve"> – typically measured by</w:t>
      </w:r>
      <w:r w:rsidRPr="00A15A48">
        <w:rPr>
          <w:color w:val="232323"/>
        </w:rPr>
        <w:t xml:space="preserve"> </w:t>
      </w:r>
      <w:r w:rsidRPr="00A15A48">
        <w:rPr>
          <w:color w:val="232323"/>
        </w:rPr>
        <w:lastRenderedPageBreak/>
        <w:t xml:space="preserve">the fraction of the firm's shares held by its </w:t>
      </w:r>
      <w:r>
        <w:rPr>
          <w:color w:val="232323"/>
        </w:rPr>
        <w:t>directors and officers</w:t>
      </w:r>
      <w:r w:rsidR="00690002">
        <w:rPr>
          <w:color w:val="232323"/>
        </w:rPr>
        <w:t xml:space="preserve"> as a group</w:t>
      </w:r>
      <w:r>
        <w:rPr>
          <w:color w:val="232323"/>
        </w:rPr>
        <w:t>. L</w:t>
      </w:r>
      <w:r w:rsidRPr="00A15A48">
        <w:rPr>
          <w:color w:val="232323"/>
        </w:rPr>
        <w:t>arger managerial ownership</w:t>
      </w:r>
      <w:r>
        <w:rPr>
          <w:color w:val="232323"/>
        </w:rPr>
        <w:t xml:space="preserve"> percentages align</w:t>
      </w:r>
      <w:r w:rsidRPr="00A15A48">
        <w:rPr>
          <w:color w:val="232323"/>
        </w:rPr>
        <w:t xml:space="preserve"> the interests of </w:t>
      </w:r>
      <w:r>
        <w:rPr>
          <w:color w:val="232323"/>
        </w:rPr>
        <w:t xml:space="preserve">managers and </w:t>
      </w:r>
      <w:r w:rsidRPr="00A15A48">
        <w:rPr>
          <w:color w:val="232323"/>
        </w:rPr>
        <w:t>outside shareholders.</w:t>
      </w:r>
      <w:r>
        <w:rPr>
          <w:color w:val="232323"/>
        </w:rPr>
        <w:t xml:space="preserve"> </w:t>
      </w:r>
      <w:r w:rsidRPr="00A15A48">
        <w:rPr>
          <w:color w:val="232323"/>
        </w:rPr>
        <w:t xml:space="preserve">Because managers have better information than </w:t>
      </w:r>
      <w:r w:rsidR="00690002">
        <w:rPr>
          <w:color w:val="232323"/>
        </w:rPr>
        <w:t xml:space="preserve">other </w:t>
      </w:r>
      <w:r w:rsidRPr="00A15A48">
        <w:rPr>
          <w:color w:val="232323"/>
        </w:rPr>
        <w:t>shareholders and because shareholders cannot always establish whether the managers’ actions increase firm value, the optimal contract for managers involves compensation that is sensitive to changes in firm value</w:t>
      </w:r>
      <w:r>
        <w:rPr>
          <w:color w:val="232323"/>
        </w:rPr>
        <w:t xml:space="preserve"> (</w:t>
      </w:r>
      <w:proofErr w:type="spellStart"/>
      <w:r>
        <w:rPr>
          <w:color w:val="232323"/>
        </w:rPr>
        <w:t>Fahlenbrach</w:t>
      </w:r>
      <w:proofErr w:type="spellEnd"/>
      <w:r>
        <w:rPr>
          <w:color w:val="232323"/>
        </w:rPr>
        <w:t xml:space="preserve"> </w:t>
      </w:r>
      <w:r w:rsidR="00D2515D">
        <w:rPr>
          <w:color w:val="232323"/>
        </w:rPr>
        <w:t>and</w:t>
      </w:r>
      <w:r>
        <w:rPr>
          <w:color w:val="232323"/>
        </w:rPr>
        <w:t xml:space="preserve"> </w:t>
      </w:r>
      <w:proofErr w:type="spellStart"/>
      <w:r>
        <w:rPr>
          <w:color w:val="232323"/>
        </w:rPr>
        <w:t>Stulz</w:t>
      </w:r>
      <w:proofErr w:type="spellEnd"/>
      <w:r>
        <w:rPr>
          <w:color w:val="232323"/>
        </w:rPr>
        <w:t xml:space="preserve"> 2009)</w:t>
      </w:r>
      <w:r w:rsidRPr="00A15A48">
        <w:rPr>
          <w:color w:val="232323"/>
        </w:rPr>
        <w:t>.</w:t>
      </w:r>
      <w:r>
        <w:rPr>
          <w:color w:val="232323"/>
        </w:rPr>
        <w:t xml:space="preserve"> A positive hypothesized relationship with firm performance is taken as evidence of the alignment of manager and owner interests.</w:t>
      </w:r>
    </w:p>
    <w:p w:rsidR="009D1158" w:rsidRPr="00CD0337" w:rsidRDefault="00183846" w:rsidP="00183846">
      <w:pPr>
        <w:pStyle w:val="BodyText"/>
        <w:spacing w:after="240"/>
        <w:jc w:val="both"/>
        <w:rPr>
          <w:i/>
        </w:rPr>
      </w:pPr>
      <w:r w:rsidRPr="00CD0337">
        <w:rPr>
          <w:i/>
        </w:rPr>
        <w:t xml:space="preserve">Hypothesis 4: Firm performance is positively associated with </w:t>
      </w:r>
      <w:r w:rsidR="007529A9" w:rsidRPr="00CD0337">
        <w:rPr>
          <w:i/>
        </w:rPr>
        <w:t>Directo</w:t>
      </w:r>
      <w:r w:rsidR="007529A9">
        <w:rPr>
          <w:i/>
        </w:rPr>
        <w:t>r</w:t>
      </w:r>
      <w:r w:rsidR="007529A9" w:rsidRPr="00CD0337">
        <w:rPr>
          <w:i/>
        </w:rPr>
        <w:t xml:space="preserve"> </w:t>
      </w:r>
      <w:r w:rsidR="00001753">
        <w:rPr>
          <w:i/>
        </w:rPr>
        <w:t>and</w:t>
      </w:r>
      <w:r w:rsidR="00001753" w:rsidRPr="00CD0337">
        <w:rPr>
          <w:i/>
        </w:rPr>
        <w:t xml:space="preserve"> </w:t>
      </w:r>
      <w:r w:rsidRPr="00CD0337">
        <w:rPr>
          <w:i/>
        </w:rPr>
        <w:t>Officer</w:t>
      </w:r>
      <w:r w:rsidR="004A2D88">
        <w:rPr>
          <w:i/>
        </w:rPr>
        <w:t xml:space="preserve"> (D&amp;O)</w:t>
      </w:r>
      <w:r w:rsidRPr="00CD0337">
        <w:rPr>
          <w:i/>
        </w:rPr>
        <w:t xml:space="preserve"> ownership.</w:t>
      </w:r>
    </w:p>
    <w:p w:rsidR="00B931FB" w:rsidRDefault="0052272A" w:rsidP="00B931FB">
      <w:pPr>
        <w:pStyle w:val="Default"/>
        <w:spacing w:line="480" w:lineRule="auto"/>
        <w:ind w:firstLine="720"/>
        <w:jc w:val="both"/>
        <w:rPr>
          <w:color w:val="auto"/>
        </w:rPr>
      </w:pPr>
      <w:r>
        <w:t xml:space="preserve">The discussion to this point </w:t>
      </w:r>
      <w:r w:rsidR="00183846">
        <w:t>centers</w:t>
      </w:r>
      <w:r>
        <w:t xml:space="preserve"> on ownership issues. We turn now to </w:t>
      </w:r>
      <w:r w:rsidR="00DE220B">
        <w:t xml:space="preserve">the </w:t>
      </w:r>
      <w:r>
        <w:t>other governance and control influences</w:t>
      </w:r>
      <w:r w:rsidR="001D662B">
        <w:t xml:space="preserve"> described by</w:t>
      </w:r>
      <w:r w:rsidR="00C91D82" w:rsidRPr="001272BC">
        <w:t xml:space="preserve"> </w:t>
      </w:r>
      <w:proofErr w:type="spellStart"/>
      <w:r w:rsidR="00780F6D">
        <w:t>Larcker</w:t>
      </w:r>
      <w:proofErr w:type="spellEnd"/>
      <w:r w:rsidR="00780F6D">
        <w:t xml:space="preserve"> </w:t>
      </w:r>
      <w:r w:rsidR="00780F6D">
        <w:rPr>
          <w:i/>
        </w:rPr>
        <w:t>et al.</w:t>
      </w:r>
      <w:r w:rsidR="00780F6D">
        <w:t xml:space="preserve"> (2007)</w:t>
      </w:r>
      <w:r w:rsidR="00C91D82" w:rsidRPr="001272BC">
        <w:t>.</w:t>
      </w:r>
      <w:r>
        <w:t xml:space="preserve"> </w:t>
      </w:r>
      <w:r w:rsidR="00B931FB">
        <w:rPr>
          <w:color w:val="auto"/>
        </w:rPr>
        <w:t>Of the 39 factors</w:t>
      </w:r>
      <w:r w:rsidR="00B931FB" w:rsidRPr="001272BC">
        <w:rPr>
          <w:color w:val="auto"/>
        </w:rPr>
        <w:t xml:space="preserve"> </w:t>
      </w:r>
      <w:r w:rsidR="00B931FB">
        <w:rPr>
          <w:color w:val="auto"/>
        </w:rPr>
        <w:t>tested</w:t>
      </w:r>
      <w:r w:rsidR="00B931FB" w:rsidRPr="001272BC">
        <w:rPr>
          <w:color w:val="auto"/>
        </w:rPr>
        <w:t xml:space="preserve"> </w:t>
      </w:r>
      <w:r w:rsidR="00B931FB">
        <w:rPr>
          <w:color w:val="auto"/>
        </w:rPr>
        <w:t xml:space="preserve">by the </w:t>
      </w:r>
      <w:proofErr w:type="spellStart"/>
      <w:r w:rsidR="00B931FB" w:rsidRPr="001272BC">
        <w:rPr>
          <w:color w:val="auto"/>
        </w:rPr>
        <w:t>Lar</w:t>
      </w:r>
      <w:r w:rsidR="00B931FB">
        <w:rPr>
          <w:color w:val="auto"/>
        </w:rPr>
        <w:t>c</w:t>
      </w:r>
      <w:r w:rsidR="00B931FB" w:rsidRPr="001272BC">
        <w:rPr>
          <w:color w:val="auto"/>
        </w:rPr>
        <w:t>ker</w:t>
      </w:r>
      <w:proofErr w:type="spellEnd"/>
      <w:r w:rsidR="00B931FB" w:rsidRPr="001272BC">
        <w:rPr>
          <w:color w:val="auto"/>
        </w:rPr>
        <w:t xml:space="preserve"> and </w:t>
      </w:r>
      <w:r w:rsidR="00B931FB">
        <w:rPr>
          <w:color w:val="auto"/>
        </w:rPr>
        <w:t>other governance studies, 29 variables describe</w:t>
      </w:r>
      <w:r w:rsidR="00B931FB" w:rsidRPr="001272BC">
        <w:rPr>
          <w:color w:val="auto"/>
        </w:rPr>
        <w:t xml:space="preserve"> the board (e.g., board size, </w:t>
      </w:r>
      <w:r w:rsidR="00B931FB">
        <w:rPr>
          <w:color w:val="auto"/>
        </w:rPr>
        <w:t>number</w:t>
      </w:r>
      <w:r w:rsidR="00B931FB" w:rsidRPr="001272BC">
        <w:rPr>
          <w:color w:val="auto"/>
        </w:rPr>
        <w:t xml:space="preserve"> of board meetings, insider chairman, etc.). Later studies expand the board characteristic descriptions – notable are gender and racial diversity, which were not part of the Larker study.</w:t>
      </w:r>
      <w:r w:rsidR="00516FAE">
        <w:rPr>
          <w:color w:val="auto"/>
        </w:rPr>
        <w:t xml:space="preserve"> </w:t>
      </w:r>
      <w:r w:rsidR="00B931FB">
        <w:rPr>
          <w:color w:val="auto"/>
        </w:rPr>
        <w:t>These characteristics lead to conflicting results and most</w:t>
      </w:r>
      <w:r w:rsidR="00B931FB" w:rsidRPr="001272BC">
        <w:rPr>
          <w:color w:val="auto"/>
        </w:rPr>
        <w:t xml:space="preserve"> are not found to have predictive impact</w:t>
      </w:r>
      <w:r w:rsidR="00B931FB">
        <w:rPr>
          <w:color w:val="auto"/>
        </w:rPr>
        <w:t xml:space="preserve"> on performance</w:t>
      </w:r>
      <w:r w:rsidR="00B931FB" w:rsidRPr="001272BC">
        <w:rPr>
          <w:color w:val="auto"/>
        </w:rPr>
        <w:t>.</w:t>
      </w:r>
      <w:r w:rsidR="00B931FB">
        <w:rPr>
          <w:rStyle w:val="FootnoteReference"/>
          <w:color w:val="auto"/>
        </w:rPr>
        <w:footnoteReference w:id="5"/>
      </w:r>
    </w:p>
    <w:p w:rsidR="00A8796E" w:rsidRPr="001272BC" w:rsidRDefault="00B931FB" w:rsidP="00B931FB">
      <w:pPr>
        <w:pStyle w:val="BodyText"/>
        <w:spacing w:line="480" w:lineRule="auto"/>
        <w:ind w:firstLine="720"/>
        <w:jc w:val="both"/>
      </w:pPr>
      <w:r>
        <w:t>Duality is often c</w:t>
      </w:r>
      <w:r w:rsidRPr="001272BC">
        <w:t xml:space="preserve">onsidered </w:t>
      </w:r>
      <w:r>
        <w:t xml:space="preserve">a </w:t>
      </w:r>
      <w:r w:rsidRPr="001272BC">
        <w:t xml:space="preserve">less effective </w:t>
      </w:r>
      <w:r>
        <w:t>managerial</w:t>
      </w:r>
      <w:r w:rsidRPr="001272BC">
        <w:t xml:space="preserve"> structure </w:t>
      </w:r>
      <w:r>
        <w:t xml:space="preserve">because it </w:t>
      </w:r>
      <w:r w:rsidRPr="001272BC">
        <w:t>removes a potential check on managerial excess (</w:t>
      </w:r>
      <w:proofErr w:type="spellStart"/>
      <w:r w:rsidRPr="001272BC">
        <w:t>Cordeiro</w:t>
      </w:r>
      <w:proofErr w:type="spellEnd"/>
      <w:r w:rsidRPr="001272BC">
        <w:t xml:space="preserve"> </w:t>
      </w:r>
      <w:r w:rsidR="00D2515D">
        <w:t>and</w:t>
      </w:r>
      <w:r w:rsidRPr="001272BC">
        <w:t xml:space="preserve"> </w:t>
      </w:r>
      <w:proofErr w:type="spellStart"/>
      <w:r w:rsidRPr="001272BC">
        <w:t>Veliyath</w:t>
      </w:r>
      <w:proofErr w:type="spellEnd"/>
      <w:r w:rsidRPr="001272BC">
        <w:t xml:space="preserve"> 2003; </w:t>
      </w:r>
      <w:proofErr w:type="spellStart"/>
      <w:r w:rsidRPr="001272BC">
        <w:t>Nourayi</w:t>
      </w:r>
      <w:proofErr w:type="spellEnd"/>
      <w:r w:rsidRPr="001272BC">
        <w:t xml:space="preserve"> </w:t>
      </w:r>
      <w:r w:rsidR="00D2515D">
        <w:t>and</w:t>
      </w:r>
      <w:r w:rsidRPr="001272BC">
        <w:t xml:space="preserve"> </w:t>
      </w:r>
      <w:proofErr w:type="spellStart"/>
      <w:r w:rsidRPr="001272BC">
        <w:t>Mintz</w:t>
      </w:r>
      <w:proofErr w:type="spellEnd"/>
      <w:r w:rsidRPr="001272BC">
        <w:t xml:space="preserve"> 2008). </w:t>
      </w:r>
      <w:r>
        <w:t>In this view, the</w:t>
      </w:r>
      <w:r w:rsidRPr="001272BC">
        <w:t xml:space="preserve"> CEO-Chairperson duality </w:t>
      </w:r>
      <w:r>
        <w:t xml:space="preserve">is expected to have a negative effect on </w:t>
      </w:r>
      <w:r w:rsidRPr="001272BC">
        <w:t xml:space="preserve">firm </w:t>
      </w:r>
      <w:r>
        <w:t>performance; empirical results do not consistently support this hypothesis.</w:t>
      </w:r>
      <w:r w:rsidRPr="001272BC">
        <w:t xml:space="preserve"> Anderson and </w:t>
      </w:r>
      <w:proofErr w:type="spellStart"/>
      <w:r w:rsidRPr="001272BC">
        <w:t>Reeb</w:t>
      </w:r>
      <w:proofErr w:type="spellEnd"/>
      <w:r w:rsidRPr="001272BC">
        <w:t xml:space="preserve"> (2003) provide empirical evidence consistent with </w:t>
      </w:r>
      <w:r>
        <w:t xml:space="preserve">a stewardship assumption – a positive duality/performance relationship – but they do not distinguish between CEO-Chairpersons who are and who are not also significant shareholders. </w:t>
      </w:r>
      <w:proofErr w:type="gramStart"/>
      <w:r>
        <w:t xml:space="preserve">Related to this joint role, </w:t>
      </w:r>
      <w:r w:rsidRPr="001272BC">
        <w:t xml:space="preserve">Zahra (2005) notes </w:t>
      </w:r>
      <w:r w:rsidRPr="001272BC">
        <w:lastRenderedPageBreak/>
        <w:t>that owner-managers will act as stewards for their firms in order to preserve firm and personal wealth, achieve long-term goals, and preserve the legacy of their own work.</w:t>
      </w:r>
      <w:proofErr w:type="gramEnd"/>
      <w:r>
        <w:rPr>
          <w:rStyle w:val="FootnoteReference"/>
        </w:rPr>
        <w:footnoteReference w:id="6"/>
      </w:r>
    </w:p>
    <w:p w:rsidR="00A612AD" w:rsidRDefault="00195C6E" w:rsidP="00204819">
      <w:pPr>
        <w:pStyle w:val="BodyText"/>
        <w:spacing w:line="480" w:lineRule="auto"/>
        <w:ind w:firstLine="720"/>
        <w:jc w:val="both"/>
      </w:pPr>
      <w:r w:rsidRPr="001272BC">
        <w:t xml:space="preserve"> Empirical studies that seek to evaluate the relative performance of an agency versus stewardship governance structure have mixed results. </w:t>
      </w:r>
      <w:r w:rsidR="00F56889">
        <w:t>We suggest</w:t>
      </w:r>
      <w:r w:rsidR="00E649D4">
        <w:t xml:space="preserve"> the result variation is attributable to the construction of a stewardship proxy. S</w:t>
      </w:r>
      <w:r w:rsidRPr="001272BC">
        <w:t xml:space="preserve">tewardship </w:t>
      </w:r>
      <w:r w:rsidR="00DC585E">
        <w:t>studies</w:t>
      </w:r>
      <w:r w:rsidRPr="001272BC">
        <w:t xml:space="preserve"> </w:t>
      </w:r>
      <w:r w:rsidR="00E649D4">
        <w:t xml:space="preserve">typically </w:t>
      </w:r>
      <w:r w:rsidRPr="001272BC">
        <w:t>identif</w:t>
      </w:r>
      <w:r w:rsidR="00DC585E">
        <w:t xml:space="preserve">y </w:t>
      </w:r>
      <w:r w:rsidR="00E649D4">
        <w:t>steward firms</w:t>
      </w:r>
      <w:r w:rsidR="0059261C">
        <w:t xml:space="preserve"> as</w:t>
      </w:r>
      <w:r w:rsidR="00E649D4">
        <w:t xml:space="preserve"> those with a </w:t>
      </w:r>
      <w:r w:rsidR="00DC585E">
        <w:t xml:space="preserve">coincidence of </w:t>
      </w:r>
      <w:r w:rsidR="002D45A7">
        <w:t xml:space="preserve">owner-manager </w:t>
      </w:r>
      <w:r w:rsidR="00DC585E">
        <w:t xml:space="preserve">incentives </w:t>
      </w:r>
      <w:r w:rsidR="00E649D4">
        <w:t>as demonstrated by a</w:t>
      </w:r>
      <w:r w:rsidRPr="001272BC">
        <w:t xml:space="preserve"> </w:t>
      </w:r>
      <w:r w:rsidR="002D45A7">
        <w:t>coincidence o</w:t>
      </w:r>
      <w:r w:rsidRPr="001272BC">
        <w:t xml:space="preserve">f operational (Presidential) and policy (Board Chairmanship) authority and discretion </w:t>
      </w:r>
      <w:r w:rsidR="002D45A7">
        <w:t>in</w:t>
      </w:r>
      <w:r w:rsidRPr="001272BC">
        <w:t xml:space="preserve"> one person (Donaldson </w:t>
      </w:r>
      <w:r w:rsidR="00D2515D">
        <w:t>and</w:t>
      </w:r>
      <w:r w:rsidRPr="001272BC">
        <w:t xml:space="preserve"> Davis, 1991).</w:t>
      </w:r>
      <w:r w:rsidR="002D45A7">
        <w:t xml:space="preserve"> </w:t>
      </w:r>
      <w:r w:rsidR="00E649D4">
        <w:t>The</w:t>
      </w:r>
      <w:r w:rsidR="002D45A7">
        <w:t xml:space="preserve"> studies </w:t>
      </w:r>
      <w:r w:rsidR="00E649D4">
        <w:t xml:space="preserve">typically </w:t>
      </w:r>
      <w:r w:rsidR="002D45A7">
        <w:t>ignor</w:t>
      </w:r>
      <w:r w:rsidR="00E649D4">
        <w:t>e</w:t>
      </w:r>
      <w:r w:rsidR="002D45A7">
        <w:t xml:space="preserve"> the possibility that the CEO-Chairperson is also a controlling owner</w:t>
      </w:r>
      <w:r w:rsidR="00E649D4">
        <w:t>. In an agency firm,</w:t>
      </w:r>
      <w:r w:rsidR="002D45A7">
        <w:t xml:space="preserve"> the “duality”</w:t>
      </w:r>
      <w:r w:rsidRPr="001272BC">
        <w:t xml:space="preserve"> </w:t>
      </w:r>
      <w:proofErr w:type="gramStart"/>
      <w:r w:rsidR="00E649D4">
        <w:t>i</w:t>
      </w:r>
      <w:r w:rsidR="002D45A7">
        <w:t>s</w:t>
      </w:r>
      <w:r w:rsidR="00E649D4">
        <w:t xml:space="preserve"> considered</w:t>
      </w:r>
      <w:proofErr w:type="gramEnd"/>
      <w:r w:rsidR="002D45A7">
        <w:t xml:space="preserve"> bad governance b</w:t>
      </w:r>
      <w:r w:rsidRPr="001272BC">
        <w:t xml:space="preserve">ecause the Board is </w:t>
      </w:r>
      <w:r w:rsidR="002D45A7">
        <w:t xml:space="preserve">supposed to be </w:t>
      </w:r>
      <w:r w:rsidRPr="001272BC">
        <w:t xml:space="preserve">an owner’s check on excesses by management, including the </w:t>
      </w:r>
      <w:r w:rsidR="00E55F29">
        <w:t xml:space="preserve">CEO </w:t>
      </w:r>
      <w:r w:rsidRPr="001272BC">
        <w:t>(</w:t>
      </w:r>
      <w:proofErr w:type="spellStart"/>
      <w:r w:rsidRPr="001272BC">
        <w:t>Demb</w:t>
      </w:r>
      <w:proofErr w:type="spellEnd"/>
      <w:r w:rsidRPr="001272BC">
        <w:t xml:space="preserve"> </w:t>
      </w:r>
      <w:r w:rsidR="00D2515D">
        <w:t>and</w:t>
      </w:r>
      <w:r w:rsidRPr="001272BC">
        <w:t xml:space="preserve"> </w:t>
      </w:r>
      <w:proofErr w:type="spellStart"/>
      <w:r w:rsidRPr="001272BC">
        <w:t>Neubauer</w:t>
      </w:r>
      <w:proofErr w:type="spellEnd"/>
      <w:r w:rsidRPr="001272BC">
        <w:t>, 1992).</w:t>
      </w:r>
      <w:r w:rsidR="00E649D4">
        <w:t xml:space="preserve"> </w:t>
      </w:r>
      <w:r w:rsidR="002D45A7">
        <w:t xml:space="preserve">The empirical evidence is mixed. </w:t>
      </w:r>
      <w:proofErr w:type="gramStart"/>
      <w:r w:rsidR="00BD7B07">
        <w:t>S</w:t>
      </w:r>
      <w:r w:rsidRPr="001272BC">
        <w:t xml:space="preserve">ome studies find </w:t>
      </w:r>
      <w:r w:rsidR="002D45A7">
        <w:t xml:space="preserve">duality </w:t>
      </w:r>
      <w:r w:rsidR="002D45A7" w:rsidRPr="001272BC">
        <w:t xml:space="preserve">associated with </w:t>
      </w:r>
      <w:r w:rsidR="002D45A7">
        <w:t>low</w:t>
      </w:r>
      <w:r w:rsidR="002D45A7" w:rsidRPr="001272BC">
        <w:t>er firm performance</w:t>
      </w:r>
      <w:r w:rsidR="002D45A7">
        <w:t xml:space="preserve"> and describe the results as</w:t>
      </w:r>
      <w:r w:rsidRPr="001272BC">
        <w:t xml:space="preserve"> Agency-consistent</w:t>
      </w:r>
      <w:r w:rsidR="002D45A7">
        <w:t xml:space="preserve"> </w:t>
      </w:r>
      <w:r w:rsidRPr="001272BC">
        <w:t xml:space="preserve">(Berg </w:t>
      </w:r>
      <w:r w:rsidR="00D2515D">
        <w:t>and</w:t>
      </w:r>
      <w:r w:rsidRPr="001272BC">
        <w:t xml:space="preserve"> Smith, 1978; </w:t>
      </w:r>
      <w:proofErr w:type="spellStart"/>
      <w:r w:rsidRPr="001272BC">
        <w:t>Rechner</w:t>
      </w:r>
      <w:proofErr w:type="spellEnd"/>
      <w:r w:rsidRPr="001272BC">
        <w:t xml:space="preserve"> </w:t>
      </w:r>
      <w:r w:rsidR="00D2515D">
        <w:t>and</w:t>
      </w:r>
      <w:r w:rsidRPr="001272BC">
        <w:t xml:space="preserve"> Dalton, 1991); others find that the</w:t>
      </w:r>
      <w:r w:rsidR="002D45A7">
        <w:t xml:space="preserve"> duality structure</w:t>
      </w:r>
      <w:r w:rsidRPr="001272BC">
        <w:t xml:space="preserve"> </w:t>
      </w:r>
      <w:r w:rsidR="002D45A7">
        <w:t xml:space="preserve">yields </w:t>
      </w:r>
      <w:r w:rsidR="002D45A7" w:rsidRPr="001272BC">
        <w:t>better corporate performance</w:t>
      </w:r>
      <w:r w:rsidR="002D45A7">
        <w:t xml:space="preserve"> and describe the result as</w:t>
      </w:r>
      <w:r w:rsidR="002D45A7" w:rsidRPr="001272BC">
        <w:t xml:space="preserve"> </w:t>
      </w:r>
      <w:r w:rsidR="008D0033">
        <w:t>S</w:t>
      </w:r>
      <w:r w:rsidR="008D0033" w:rsidRPr="001272BC">
        <w:t>tewardship</w:t>
      </w:r>
      <w:r w:rsidRPr="001272BC">
        <w:t xml:space="preserve">-consistent (Donaldson </w:t>
      </w:r>
      <w:r w:rsidR="00D2515D">
        <w:t>and</w:t>
      </w:r>
      <w:r w:rsidRPr="001272BC">
        <w:t xml:space="preserve"> Davis, 1991; Finkelstein </w:t>
      </w:r>
      <w:r w:rsidR="00D2515D">
        <w:t>and</w:t>
      </w:r>
      <w:r w:rsidRPr="001272BC">
        <w:t xml:space="preserve"> </w:t>
      </w:r>
      <w:proofErr w:type="spellStart"/>
      <w:r w:rsidRPr="001272BC">
        <w:t>D'Aveni</w:t>
      </w:r>
      <w:proofErr w:type="spellEnd"/>
      <w:r w:rsidRPr="001272BC">
        <w:t xml:space="preserve">, 1994; Anderson and </w:t>
      </w:r>
      <w:proofErr w:type="spellStart"/>
      <w:r w:rsidRPr="001272BC">
        <w:t>Reeb</w:t>
      </w:r>
      <w:proofErr w:type="spellEnd"/>
      <w:r w:rsidRPr="001272BC">
        <w:t>, 2003); and some find no relationship (</w:t>
      </w:r>
      <w:proofErr w:type="spellStart"/>
      <w:r w:rsidRPr="001272BC">
        <w:t>Chaganti</w:t>
      </w:r>
      <w:proofErr w:type="spellEnd"/>
      <w:r w:rsidRPr="001272BC">
        <w:t xml:space="preserve"> </w:t>
      </w:r>
      <w:r w:rsidRPr="001272BC">
        <w:rPr>
          <w:i/>
        </w:rPr>
        <w:t xml:space="preserve">et al. </w:t>
      </w:r>
      <w:r w:rsidRPr="001272BC">
        <w:t xml:space="preserve">1985; </w:t>
      </w:r>
      <w:proofErr w:type="spellStart"/>
      <w:r w:rsidRPr="001272BC">
        <w:t>Molz</w:t>
      </w:r>
      <w:proofErr w:type="spellEnd"/>
      <w:r w:rsidRPr="001272BC">
        <w:t>, 1988).</w:t>
      </w:r>
      <w:proofErr w:type="gramEnd"/>
      <w:r w:rsidRPr="001272BC">
        <w:t xml:space="preserve"> </w:t>
      </w:r>
    </w:p>
    <w:p w:rsidR="00BD7B07" w:rsidRDefault="009D1ECD" w:rsidP="00204819">
      <w:pPr>
        <w:pStyle w:val="BodyText"/>
        <w:spacing w:line="480" w:lineRule="auto"/>
        <w:ind w:firstLine="720"/>
        <w:jc w:val="both"/>
      </w:pPr>
      <w:r>
        <w:t>Regardless of the duality status of a firm, a shareholder</w:t>
      </w:r>
      <w:r w:rsidR="00A612AD">
        <w:t xml:space="preserve"> with a controlling interest in a firm is able to exert influence over both operational and policy decisions. </w:t>
      </w:r>
      <w:r w:rsidR="00195C6E" w:rsidRPr="001272BC">
        <w:t xml:space="preserve">We </w:t>
      </w:r>
      <w:r w:rsidR="00BD7B07">
        <w:t>believe</w:t>
      </w:r>
      <w:r w:rsidR="00195C6E" w:rsidRPr="001272BC">
        <w:t xml:space="preserve"> part of the </w:t>
      </w:r>
      <w:r w:rsidR="00A612AD">
        <w:t>inconsistency in</w:t>
      </w:r>
      <w:r w:rsidR="00195C6E" w:rsidRPr="001272BC">
        <w:t xml:space="preserve"> </w:t>
      </w:r>
      <w:r w:rsidR="00A612AD">
        <w:t xml:space="preserve">prior </w:t>
      </w:r>
      <w:r w:rsidR="00195C6E" w:rsidRPr="001272BC">
        <w:t xml:space="preserve">empirical </w:t>
      </w:r>
      <w:r w:rsidR="00BD7B07">
        <w:t>result</w:t>
      </w:r>
      <w:r w:rsidR="00195C6E" w:rsidRPr="001272BC">
        <w:t>s</w:t>
      </w:r>
      <w:r w:rsidR="00BD7B07">
        <w:t xml:space="preserve"> regarding duality and stewardship theory</w:t>
      </w:r>
      <w:r w:rsidR="00195C6E" w:rsidRPr="001272BC">
        <w:t xml:space="preserve"> is attributed </w:t>
      </w:r>
      <w:proofErr w:type="gramStart"/>
      <w:r w:rsidR="00195C6E" w:rsidRPr="001272BC">
        <w:t>to  insufficient</w:t>
      </w:r>
      <w:proofErr w:type="gramEnd"/>
      <w:r w:rsidR="00195C6E" w:rsidRPr="001272BC">
        <w:t xml:space="preserve"> </w:t>
      </w:r>
      <w:r w:rsidR="00BD7B07">
        <w:t>recognition</w:t>
      </w:r>
      <w:r w:rsidR="00195C6E" w:rsidRPr="001272BC">
        <w:t xml:space="preserve"> of family</w:t>
      </w:r>
      <w:r>
        <w:t>-shareholder control</w:t>
      </w:r>
      <w:r w:rsidR="00BD7B07">
        <w:t xml:space="preserve"> relationships in the </w:t>
      </w:r>
      <w:r w:rsidR="00195C6E" w:rsidRPr="001272BC">
        <w:t>stewardship</w:t>
      </w:r>
      <w:r w:rsidR="00BD7B07">
        <w:t>/duality studies.</w:t>
      </w:r>
      <w:r w:rsidR="00A612AD" w:rsidRPr="001272BC">
        <w:rPr>
          <w:rStyle w:val="FootnoteReference"/>
        </w:rPr>
        <w:footnoteReference w:id="7"/>
      </w:r>
      <w:r w:rsidR="00516FAE">
        <w:t xml:space="preserve"> </w:t>
      </w:r>
      <w:r>
        <w:t>C</w:t>
      </w:r>
      <w:r w:rsidR="00A612AD">
        <w:t xml:space="preserve">ontrolling for </w:t>
      </w:r>
      <w:r>
        <w:t xml:space="preserve">both </w:t>
      </w:r>
      <w:r w:rsidR="00A612AD">
        <w:t>family control and duality relationships</w:t>
      </w:r>
      <w:r w:rsidR="00167B15">
        <w:t>,</w:t>
      </w:r>
      <w:r>
        <w:t xml:space="preserve"> we better isolate the </w:t>
      </w:r>
      <w:r>
        <w:lastRenderedPageBreak/>
        <w:t>duality effect</w:t>
      </w:r>
      <w:r w:rsidR="005801FE">
        <w:t xml:space="preserve">. </w:t>
      </w:r>
      <w:r w:rsidR="00A612AD">
        <w:t>While a CEO with duality may act as a steward for some firms, we expect that family firms do not experience further benefit with a duality governance structure. We therefore test two relationships in Hypothesis 5.</w:t>
      </w:r>
    </w:p>
    <w:p w:rsidR="000E56CE" w:rsidRDefault="000E56CE" w:rsidP="000E56CE">
      <w:pPr>
        <w:pStyle w:val="BodyText"/>
        <w:spacing w:after="240"/>
        <w:jc w:val="both"/>
        <w:rPr>
          <w:i/>
        </w:rPr>
      </w:pPr>
      <w:r w:rsidRPr="00CD0337">
        <w:rPr>
          <w:i/>
        </w:rPr>
        <w:t>Hypothesis 5</w:t>
      </w:r>
      <w:r w:rsidR="00A612AD">
        <w:rPr>
          <w:i/>
        </w:rPr>
        <w:t>a</w:t>
      </w:r>
      <w:r w:rsidRPr="00CD0337">
        <w:rPr>
          <w:i/>
        </w:rPr>
        <w:t xml:space="preserve">: Firm performance is </w:t>
      </w:r>
      <w:r w:rsidR="00780F6D" w:rsidRPr="00CD0337">
        <w:rPr>
          <w:i/>
        </w:rPr>
        <w:t>positively associated with duality</w:t>
      </w:r>
      <w:r w:rsidRPr="00CD0337">
        <w:rPr>
          <w:i/>
        </w:rPr>
        <w:t>.</w:t>
      </w:r>
    </w:p>
    <w:p w:rsidR="004D2A6C" w:rsidRPr="00CD0337" w:rsidRDefault="004D2A6C" w:rsidP="000E56CE">
      <w:pPr>
        <w:pStyle w:val="BodyText"/>
        <w:spacing w:after="240"/>
        <w:jc w:val="both"/>
        <w:rPr>
          <w:i/>
        </w:rPr>
      </w:pPr>
      <w:r>
        <w:rPr>
          <w:i/>
        </w:rPr>
        <w:t xml:space="preserve">Hypothesis 5b: Firm performance is negatively or not significantly associated with the </w:t>
      </w:r>
      <w:r w:rsidR="00001753">
        <w:rPr>
          <w:i/>
        </w:rPr>
        <w:t xml:space="preserve">coincidence </w:t>
      </w:r>
      <w:r>
        <w:rPr>
          <w:i/>
        </w:rPr>
        <w:t>of family control and duality.</w:t>
      </w:r>
    </w:p>
    <w:p w:rsidR="00F9335E" w:rsidRDefault="003F1D53">
      <w:pPr>
        <w:pStyle w:val="Default"/>
        <w:spacing w:line="480" w:lineRule="auto"/>
        <w:ind w:firstLine="720"/>
        <w:jc w:val="both"/>
        <w:rPr>
          <w:rFonts w:eastAsiaTheme="minorHAnsi"/>
        </w:rPr>
      </w:pPr>
      <w:r>
        <w:rPr>
          <w:color w:val="auto"/>
        </w:rPr>
        <w:t>A</w:t>
      </w:r>
      <w:r w:rsidRPr="001272BC">
        <w:rPr>
          <w:color w:val="auto"/>
        </w:rPr>
        <w:t xml:space="preserve"> </w:t>
      </w:r>
      <w:r w:rsidR="00780F6D" w:rsidRPr="001272BC">
        <w:rPr>
          <w:color w:val="auto"/>
        </w:rPr>
        <w:t xml:space="preserve">classic agency </w:t>
      </w:r>
      <w:r>
        <w:rPr>
          <w:color w:val="auto"/>
        </w:rPr>
        <w:t>prescription</w:t>
      </w:r>
      <w:r w:rsidRPr="001272BC">
        <w:rPr>
          <w:color w:val="auto"/>
        </w:rPr>
        <w:t xml:space="preserve"> </w:t>
      </w:r>
      <w:r w:rsidR="00780F6D" w:rsidRPr="001272BC">
        <w:rPr>
          <w:color w:val="auto"/>
        </w:rPr>
        <w:t xml:space="preserve">is that </w:t>
      </w:r>
      <w:r w:rsidR="00E74D1F">
        <w:rPr>
          <w:color w:val="auto"/>
        </w:rPr>
        <w:t xml:space="preserve">CEO </w:t>
      </w:r>
      <w:r w:rsidR="00780F6D" w:rsidRPr="001272BC">
        <w:rPr>
          <w:color w:val="auto"/>
        </w:rPr>
        <w:t xml:space="preserve">compensation </w:t>
      </w:r>
      <w:proofErr w:type="gramStart"/>
      <w:r w:rsidR="00780F6D" w:rsidRPr="001272BC">
        <w:rPr>
          <w:color w:val="auto"/>
        </w:rPr>
        <w:t>should be used</w:t>
      </w:r>
      <w:proofErr w:type="gramEnd"/>
      <w:r w:rsidR="00780F6D" w:rsidRPr="001272BC">
        <w:rPr>
          <w:color w:val="auto"/>
        </w:rPr>
        <w:t xml:space="preserve"> to align the interests of the owners and </w:t>
      </w:r>
      <w:r w:rsidR="00DB64DE">
        <w:rPr>
          <w:color w:val="auto"/>
        </w:rPr>
        <w:t xml:space="preserve">of </w:t>
      </w:r>
      <w:r w:rsidR="00780F6D" w:rsidRPr="001272BC">
        <w:rPr>
          <w:color w:val="auto"/>
        </w:rPr>
        <w:t xml:space="preserve">the CEO. </w:t>
      </w:r>
      <w:r w:rsidR="00E74D1F" w:rsidRPr="001272BC">
        <w:t>If effective, higher compensation (an agency cost) will be associated with higher firm performance.</w:t>
      </w:r>
      <w:r w:rsidR="00E74D1F">
        <w:t xml:space="preserve"> </w:t>
      </w:r>
      <w:r>
        <w:rPr>
          <w:color w:val="auto"/>
        </w:rPr>
        <w:t>Governance critics</w:t>
      </w:r>
      <w:r w:rsidR="00780F6D" w:rsidRPr="001272BC">
        <w:rPr>
          <w:color w:val="auto"/>
        </w:rPr>
        <w:t xml:space="preserve"> observe that because the CEO influences the </w:t>
      </w:r>
      <w:r>
        <w:rPr>
          <w:color w:val="auto"/>
        </w:rPr>
        <w:t xml:space="preserve">selection of </w:t>
      </w:r>
      <w:r w:rsidR="00780F6D" w:rsidRPr="001272BC">
        <w:rPr>
          <w:color w:val="auto"/>
        </w:rPr>
        <w:t xml:space="preserve">board </w:t>
      </w:r>
      <w:r>
        <w:rPr>
          <w:color w:val="auto"/>
        </w:rPr>
        <w:t>members, in practice</w:t>
      </w:r>
      <w:r w:rsidR="00780F6D" w:rsidRPr="001272BC">
        <w:rPr>
          <w:color w:val="auto"/>
        </w:rPr>
        <w:t xml:space="preserve"> the board does not structure the CEO</w:t>
      </w:r>
      <w:r w:rsidR="00167B15">
        <w:rPr>
          <w:color w:val="auto"/>
        </w:rPr>
        <w:t>’</w:t>
      </w:r>
      <w:r w:rsidR="00780F6D" w:rsidRPr="001272BC">
        <w:rPr>
          <w:color w:val="auto"/>
        </w:rPr>
        <w:t xml:space="preserve">s compensation package to maximize value for outside shareholders. </w:t>
      </w:r>
      <w:r w:rsidR="00E74D1F">
        <w:rPr>
          <w:color w:val="auto"/>
        </w:rPr>
        <w:t>But evidence suggests that</w:t>
      </w:r>
      <w:r w:rsidR="00780F6D" w:rsidRPr="001272BC">
        <w:rPr>
          <w:color w:val="auto"/>
        </w:rPr>
        <w:t xml:space="preserve"> boards of directors </w:t>
      </w:r>
      <w:r w:rsidR="00E74D1F">
        <w:rPr>
          <w:color w:val="auto"/>
        </w:rPr>
        <w:t>do a poor job of structuring compensation;</w:t>
      </w:r>
      <w:r w:rsidR="00780F6D" w:rsidRPr="001272BC">
        <w:rPr>
          <w:color w:val="auto"/>
        </w:rPr>
        <w:t xml:space="preserve"> “firms with weaker governance structures have greater agency problems; that CEOs at firms with greater agency problems extract greater compensation; and that firms with greater problems perform worse”</w:t>
      </w:r>
      <w:r w:rsidR="00E74D1F">
        <w:rPr>
          <w:color w:val="auto"/>
        </w:rPr>
        <w:t xml:space="preserve"> </w:t>
      </w:r>
      <w:r w:rsidR="00167B15">
        <w:rPr>
          <w:color w:val="auto"/>
        </w:rPr>
        <w:t>(</w:t>
      </w:r>
      <w:r w:rsidR="00E74D1F" w:rsidRPr="001272BC">
        <w:rPr>
          <w:color w:val="auto"/>
        </w:rPr>
        <w:t xml:space="preserve">Core </w:t>
      </w:r>
      <w:r w:rsidR="00E74D1F" w:rsidRPr="001E163F">
        <w:rPr>
          <w:i/>
          <w:color w:val="auto"/>
        </w:rPr>
        <w:t>et al.</w:t>
      </w:r>
      <w:r w:rsidR="00E74D1F">
        <w:rPr>
          <w:color w:val="auto"/>
        </w:rPr>
        <w:t xml:space="preserve"> </w:t>
      </w:r>
      <w:r w:rsidR="00E74D1F" w:rsidRPr="001272BC">
        <w:rPr>
          <w:color w:val="auto"/>
        </w:rPr>
        <w:t xml:space="preserve">1999, </w:t>
      </w:r>
      <w:r w:rsidR="00F90ABC">
        <w:rPr>
          <w:color w:val="auto"/>
        </w:rPr>
        <w:t xml:space="preserve">p </w:t>
      </w:r>
      <w:r w:rsidR="00E74D1F" w:rsidRPr="001272BC">
        <w:rPr>
          <w:color w:val="auto"/>
        </w:rPr>
        <w:t>373)</w:t>
      </w:r>
      <w:r w:rsidR="00E74D1F">
        <w:rPr>
          <w:color w:val="auto"/>
        </w:rPr>
        <w:t>.</w:t>
      </w:r>
      <w:r w:rsidR="00516FAE">
        <w:rPr>
          <w:color w:val="auto"/>
        </w:rPr>
        <w:t xml:space="preserve"> </w:t>
      </w:r>
      <w:r w:rsidR="00E74D1F">
        <w:t>H</w:t>
      </w:r>
      <w:r w:rsidR="00E74D1F" w:rsidRPr="001272BC">
        <w:t xml:space="preserve">igher overall compensation may also create a disincentive for the manager to take more risk and seek higher returns. Core et al. (1999) find a negative association between CEO compensation and future firm performance. </w:t>
      </w:r>
      <w:r w:rsidR="00E74D1F">
        <w:t>A</w:t>
      </w:r>
      <w:r w:rsidR="00780F6D" w:rsidRPr="001272BC">
        <w:rPr>
          <w:color w:val="auto"/>
        </w:rPr>
        <w:t xml:space="preserve"> more recent study </w:t>
      </w:r>
      <w:r w:rsidR="00E74D1F">
        <w:rPr>
          <w:color w:val="auto"/>
        </w:rPr>
        <w:t>agrees</w:t>
      </w:r>
      <w:r w:rsidR="00780F6D" w:rsidRPr="001272BC">
        <w:rPr>
          <w:color w:val="auto"/>
        </w:rPr>
        <w:t xml:space="preserve">: “despite the increased use of option-based compensation during the 1990s, concerns regarding its efficacy abound.” </w:t>
      </w:r>
      <w:proofErr w:type="gramStart"/>
      <w:r w:rsidR="00780F6D" w:rsidRPr="001272BC">
        <w:rPr>
          <w:color w:val="auto"/>
        </w:rPr>
        <w:t>(</w:t>
      </w:r>
      <w:proofErr w:type="spellStart"/>
      <w:r w:rsidR="00780F6D" w:rsidRPr="001272BC">
        <w:rPr>
          <w:color w:val="auto"/>
        </w:rPr>
        <w:t>Gillan</w:t>
      </w:r>
      <w:proofErr w:type="spellEnd"/>
      <w:r w:rsidR="00780F6D" w:rsidRPr="001272BC">
        <w:rPr>
          <w:color w:val="auto"/>
        </w:rPr>
        <w:t xml:space="preserve"> 2006</w:t>
      </w:r>
      <w:r w:rsidR="00780F6D" w:rsidRPr="001272BC">
        <w:rPr>
          <w:rFonts w:eastAsiaTheme="minorHAnsi"/>
        </w:rPr>
        <w:t>)</w:t>
      </w:r>
      <w:r w:rsidR="00173B35">
        <w:rPr>
          <w:rFonts w:eastAsiaTheme="minorHAnsi"/>
        </w:rPr>
        <w:t>.</w:t>
      </w:r>
      <w:proofErr w:type="gramEnd"/>
      <w:r w:rsidR="00780F6D" w:rsidRPr="001272BC">
        <w:rPr>
          <w:rFonts w:eastAsiaTheme="minorHAnsi"/>
        </w:rPr>
        <w:t xml:space="preserve"> </w:t>
      </w:r>
    </w:p>
    <w:p w:rsidR="00700CFE" w:rsidRDefault="00D7278B">
      <w:pPr>
        <w:pStyle w:val="Default"/>
        <w:spacing w:line="480" w:lineRule="auto"/>
        <w:ind w:firstLine="720"/>
        <w:jc w:val="both"/>
      </w:pPr>
      <w:r>
        <w:rPr>
          <w:rFonts w:eastAsiaTheme="minorHAnsi"/>
        </w:rPr>
        <w:t>R</w:t>
      </w:r>
      <w:r w:rsidR="00E74D1F">
        <w:rPr>
          <w:rFonts w:eastAsiaTheme="minorHAnsi"/>
        </w:rPr>
        <w:t xml:space="preserve">eporting changes </w:t>
      </w:r>
      <w:r>
        <w:rPr>
          <w:rFonts w:eastAsiaTheme="minorHAnsi"/>
        </w:rPr>
        <w:t xml:space="preserve">in 2006 for the </w:t>
      </w:r>
      <w:r w:rsidR="00E74D1F">
        <w:rPr>
          <w:rFonts w:eastAsiaTheme="minorHAnsi"/>
        </w:rPr>
        <w:t xml:space="preserve">SEC </w:t>
      </w:r>
      <w:r>
        <w:rPr>
          <w:rFonts w:eastAsiaTheme="minorHAnsi"/>
        </w:rPr>
        <w:t>Definitive</w:t>
      </w:r>
      <w:r w:rsidR="000B2EE6">
        <w:rPr>
          <w:rFonts w:eastAsiaTheme="minorHAnsi"/>
        </w:rPr>
        <w:t xml:space="preserve"> (DEF)</w:t>
      </w:r>
      <w:r>
        <w:rPr>
          <w:rFonts w:eastAsiaTheme="minorHAnsi"/>
        </w:rPr>
        <w:t xml:space="preserve"> 14A</w:t>
      </w:r>
      <w:r w:rsidR="00E74D1F">
        <w:rPr>
          <w:rFonts w:eastAsiaTheme="minorHAnsi"/>
        </w:rPr>
        <w:t xml:space="preserve"> allow a fuller assessment of f</w:t>
      </w:r>
      <w:r w:rsidR="00780F6D" w:rsidRPr="001272BC">
        <w:rPr>
          <w:rFonts w:eastAsiaTheme="minorHAnsi"/>
        </w:rPr>
        <w:t>orward-looking incentive</w:t>
      </w:r>
      <w:r w:rsidR="00173B35">
        <w:rPr>
          <w:rFonts w:eastAsiaTheme="minorHAnsi"/>
        </w:rPr>
        <w:t xml:space="preserve"> </w:t>
      </w:r>
      <w:r w:rsidR="00780F6D" w:rsidRPr="001272BC">
        <w:rPr>
          <w:rFonts w:eastAsiaTheme="minorHAnsi"/>
        </w:rPr>
        <w:t>compensation</w:t>
      </w:r>
      <w:r w:rsidR="00E74D1F">
        <w:rPr>
          <w:rFonts w:eastAsiaTheme="minorHAnsi"/>
        </w:rPr>
        <w:t>.</w:t>
      </w:r>
      <w:r w:rsidR="00F9335E">
        <w:rPr>
          <w:rStyle w:val="FootnoteReference"/>
          <w:rFonts w:eastAsiaTheme="minorHAnsi"/>
        </w:rPr>
        <w:footnoteReference w:id="8"/>
      </w:r>
      <w:r w:rsidR="00E74D1F">
        <w:rPr>
          <w:rFonts w:eastAsiaTheme="minorHAnsi"/>
        </w:rPr>
        <w:t xml:space="preserve"> Such compensation</w:t>
      </w:r>
      <w:r w:rsidR="00780F6D" w:rsidRPr="001272BC">
        <w:rPr>
          <w:rFonts w:eastAsiaTheme="minorHAnsi"/>
        </w:rPr>
        <w:t xml:space="preserve"> should induce managers to make decisions </w:t>
      </w:r>
      <w:r w:rsidR="00780F6D">
        <w:rPr>
          <w:rFonts w:eastAsiaTheme="minorHAnsi"/>
        </w:rPr>
        <w:t xml:space="preserve">that </w:t>
      </w:r>
      <w:r w:rsidR="00780F6D" w:rsidRPr="001272BC">
        <w:rPr>
          <w:rFonts w:eastAsiaTheme="minorHAnsi"/>
        </w:rPr>
        <w:t xml:space="preserve">positively influence future firm performance, and thus their own personal wealth. </w:t>
      </w:r>
      <w:r w:rsidR="00685A70">
        <w:rPr>
          <w:rFonts w:eastAsiaTheme="minorHAnsi"/>
        </w:rPr>
        <w:t xml:space="preserve">This effect is enhanced by a tax system where current compensation is taxed more </w:t>
      </w:r>
      <w:r w:rsidR="00685A70">
        <w:rPr>
          <w:rFonts w:eastAsiaTheme="minorHAnsi"/>
        </w:rPr>
        <w:lastRenderedPageBreak/>
        <w:t xml:space="preserve">heavily than the capital </w:t>
      </w:r>
      <w:proofErr w:type="gramStart"/>
      <w:r w:rsidR="00685A70">
        <w:rPr>
          <w:rFonts w:eastAsiaTheme="minorHAnsi"/>
        </w:rPr>
        <w:t>gains which</w:t>
      </w:r>
      <w:proofErr w:type="gramEnd"/>
      <w:r w:rsidR="00685A70">
        <w:rPr>
          <w:rFonts w:eastAsiaTheme="minorHAnsi"/>
        </w:rPr>
        <w:t xml:space="preserve"> may be associated with some forward looking compensation </w:t>
      </w:r>
      <w:r w:rsidR="001379F4">
        <w:rPr>
          <w:rFonts w:eastAsiaTheme="minorHAnsi"/>
        </w:rPr>
        <w:t xml:space="preserve">such as </w:t>
      </w:r>
      <w:r w:rsidR="00685A70">
        <w:rPr>
          <w:rFonts w:eastAsiaTheme="minorHAnsi"/>
        </w:rPr>
        <w:t>restricted performance shares</w:t>
      </w:r>
      <w:r w:rsidR="001379F4">
        <w:rPr>
          <w:rFonts w:eastAsiaTheme="minorHAnsi"/>
        </w:rPr>
        <w:t xml:space="preserve">. </w:t>
      </w:r>
      <w:r w:rsidR="00780F6D" w:rsidRPr="001272BC">
        <w:t xml:space="preserve">We expect a negative relationship between </w:t>
      </w:r>
      <w:r w:rsidR="00685A70">
        <w:t>performance and current</w:t>
      </w:r>
      <w:r w:rsidR="00685A70" w:rsidRPr="001272BC">
        <w:t xml:space="preserve"> </w:t>
      </w:r>
      <w:r w:rsidR="00780F6D" w:rsidRPr="001272BC">
        <w:t xml:space="preserve">CEO compensation and a positive relationship between </w:t>
      </w:r>
      <w:r w:rsidR="00685A70" w:rsidRPr="001272BC">
        <w:t xml:space="preserve">performance </w:t>
      </w:r>
      <w:r w:rsidR="00685A70">
        <w:t xml:space="preserve">and </w:t>
      </w:r>
      <w:r w:rsidR="00E74D1F">
        <w:t>the portion of compensation that is dependent on future firm performance</w:t>
      </w:r>
      <w:r w:rsidR="00780F6D" w:rsidRPr="001272BC">
        <w:t>.</w:t>
      </w:r>
    </w:p>
    <w:p w:rsidR="00B835E9" w:rsidRDefault="00B835E9" w:rsidP="0017628B">
      <w:pPr>
        <w:pStyle w:val="BodyText"/>
        <w:spacing w:after="240"/>
        <w:jc w:val="both"/>
        <w:rPr>
          <w:i/>
        </w:rPr>
      </w:pPr>
      <w:r w:rsidRPr="0017628B">
        <w:rPr>
          <w:i/>
        </w:rPr>
        <w:t xml:space="preserve">Hypothesis 6: Firm performance is positively associated with Forward Compensation but </w:t>
      </w:r>
      <w:r w:rsidR="00DB7A69">
        <w:rPr>
          <w:i/>
        </w:rPr>
        <w:t>negatively associated with</w:t>
      </w:r>
      <w:r w:rsidR="00DB7A69" w:rsidRPr="0017628B">
        <w:rPr>
          <w:i/>
        </w:rPr>
        <w:t xml:space="preserve"> </w:t>
      </w:r>
      <w:r w:rsidR="00DB7A69">
        <w:rPr>
          <w:i/>
        </w:rPr>
        <w:t>total Current</w:t>
      </w:r>
      <w:r>
        <w:rPr>
          <w:i/>
        </w:rPr>
        <w:t xml:space="preserve"> Compensation</w:t>
      </w:r>
      <w:r w:rsidRPr="001272BC">
        <w:rPr>
          <w:i/>
        </w:rPr>
        <w:t>.</w:t>
      </w:r>
    </w:p>
    <w:p w:rsidR="00806A62" w:rsidRPr="001C5112" w:rsidRDefault="00806A62" w:rsidP="001C5112">
      <w:pPr>
        <w:pStyle w:val="BodyText"/>
        <w:spacing w:line="480" w:lineRule="auto"/>
        <w:jc w:val="both"/>
        <w:rPr>
          <w:rFonts w:eastAsiaTheme="minorHAnsi"/>
        </w:rPr>
      </w:pPr>
      <w:r w:rsidRPr="001C5112">
        <w:rPr>
          <w:rFonts w:eastAsiaTheme="minorHAnsi"/>
        </w:rPr>
        <w:tab/>
        <w:t>The final governance variable we consider is firm leverage.</w:t>
      </w:r>
      <w:r w:rsidR="00DD7D58" w:rsidRPr="001C5112">
        <w:rPr>
          <w:rFonts w:eastAsiaTheme="minorHAnsi"/>
        </w:rPr>
        <w:t xml:space="preserve"> </w:t>
      </w:r>
      <w:r w:rsidR="00E74D1F" w:rsidRPr="001272BC">
        <w:t>J</w:t>
      </w:r>
      <w:r w:rsidR="00E74D1F">
        <w:t xml:space="preserve">ensen and </w:t>
      </w:r>
      <w:proofErr w:type="spellStart"/>
      <w:r w:rsidR="00E74D1F">
        <w:t>Meckling</w:t>
      </w:r>
      <w:proofErr w:type="spellEnd"/>
      <w:r w:rsidR="00E74D1F">
        <w:t xml:space="preserve"> (1976) argue</w:t>
      </w:r>
      <w:r w:rsidR="00E74D1F" w:rsidRPr="001272BC">
        <w:t xml:space="preserve"> that debt constrains managerial expropriation by imposing fixed obligations on corporate cash flow.</w:t>
      </w:r>
      <w:r w:rsidR="00E74D1F">
        <w:t xml:space="preserve"> </w:t>
      </w:r>
      <w:r w:rsidR="00DD7D58" w:rsidRPr="001C5112">
        <w:rPr>
          <w:rFonts w:eastAsiaTheme="minorHAnsi"/>
        </w:rPr>
        <w:t>Higher levels of debt are associated with external monitoring by outside stakeholders which is considered a good governance mechanism (</w:t>
      </w:r>
      <w:proofErr w:type="spellStart"/>
      <w:r w:rsidR="00DD7D58" w:rsidRPr="001C5112">
        <w:rPr>
          <w:rFonts w:eastAsiaTheme="minorHAnsi"/>
        </w:rPr>
        <w:t>Larcker</w:t>
      </w:r>
      <w:proofErr w:type="spellEnd"/>
      <w:r w:rsidR="00DD7D58" w:rsidRPr="001C5112">
        <w:rPr>
          <w:rFonts w:eastAsiaTheme="minorHAnsi"/>
        </w:rPr>
        <w:t xml:space="preserve"> et al., 2007). However, the </w:t>
      </w:r>
      <w:proofErr w:type="spellStart"/>
      <w:r w:rsidR="00DD7D58" w:rsidRPr="001C5112">
        <w:rPr>
          <w:rFonts w:eastAsiaTheme="minorHAnsi"/>
        </w:rPr>
        <w:t>Larcker</w:t>
      </w:r>
      <w:proofErr w:type="spellEnd"/>
      <w:r w:rsidR="00DD7D58" w:rsidRPr="001C5112">
        <w:rPr>
          <w:rFonts w:eastAsiaTheme="minorHAnsi"/>
        </w:rPr>
        <w:t xml:space="preserve"> study also observes that debt is negatively associated with future firm performance.</w:t>
      </w:r>
      <w:r w:rsidR="00BC5FEF">
        <w:rPr>
          <w:rFonts w:eastAsiaTheme="minorHAnsi"/>
        </w:rPr>
        <w:t xml:space="preserve"> Too much debt may constrain future cash flows and net income.</w:t>
      </w:r>
      <w:r w:rsidR="00DD7D58" w:rsidRPr="001C5112">
        <w:rPr>
          <w:rFonts w:eastAsiaTheme="minorHAnsi"/>
        </w:rPr>
        <w:t xml:space="preserve"> We include </w:t>
      </w:r>
      <w:proofErr w:type="gramStart"/>
      <w:r w:rsidR="00DD7D58" w:rsidRPr="001C5112">
        <w:rPr>
          <w:rFonts w:eastAsiaTheme="minorHAnsi"/>
        </w:rPr>
        <w:t>a leverage</w:t>
      </w:r>
      <w:proofErr w:type="gramEnd"/>
      <w:r w:rsidR="00DD7D58" w:rsidRPr="001C5112">
        <w:rPr>
          <w:rFonts w:eastAsiaTheme="minorHAnsi"/>
        </w:rPr>
        <w:t xml:space="preserve"> variable to account for the impact of external stakeholder monitors on the firm</w:t>
      </w:r>
      <w:r w:rsidR="00E00DC4">
        <w:rPr>
          <w:rFonts w:eastAsiaTheme="minorHAnsi"/>
        </w:rPr>
        <w:t>,</w:t>
      </w:r>
      <w:r w:rsidR="00DD7D58" w:rsidRPr="001C5112">
        <w:rPr>
          <w:rFonts w:eastAsiaTheme="minorHAnsi"/>
        </w:rPr>
        <w:t xml:space="preserve"> but</w:t>
      </w:r>
      <w:r w:rsidR="00CB6A9C">
        <w:rPr>
          <w:rFonts w:eastAsiaTheme="minorHAnsi"/>
        </w:rPr>
        <w:t xml:space="preserve"> given the nuances of the insurance industry,</w:t>
      </w:r>
      <w:r w:rsidR="00DD7D58" w:rsidRPr="001C5112">
        <w:rPr>
          <w:rFonts w:eastAsiaTheme="minorHAnsi"/>
        </w:rPr>
        <w:t xml:space="preserve"> we do not expect a significant relation between the extent of leverage and Tobin’s </w:t>
      </w:r>
      <w:r w:rsidR="00DD7D58" w:rsidRPr="00E00DC4">
        <w:rPr>
          <w:rFonts w:eastAsiaTheme="minorHAnsi"/>
          <w:i/>
        </w:rPr>
        <w:t>q</w:t>
      </w:r>
      <w:r w:rsidR="00F90ABC">
        <w:rPr>
          <w:rFonts w:eastAsiaTheme="minorHAnsi"/>
        </w:rPr>
        <w:t>, the measure of firm performance employed in this study</w:t>
      </w:r>
      <w:r w:rsidR="00DD7D58" w:rsidRPr="001C5112">
        <w:rPr>
          <w:rFonts w:eastAsiaTheme="minorHAnsi"/>
        </w:rPr>
        <w:t xml:space="preserve">. </w:t>
      </w:r>
      <w:r w:rsidR="00685A70">
        <w:rPr>
          <w:rFonts w:eastAsiaTheme="minorHAnsi"/>
        </w:rPr>
        <w:t xml:space="preserve">Rather than obtaining debt funding from, say, a bank where monitoring of the insurer is in the interest of the bank, insurers obtain debt obligations by writing more insurance policies. </w:t>
      </w:r>
      <w:proofErr w:type="spellStart"/>
      <w:r w:rsidR="00511F62" w:rsidRPr="001272BC">
        <w:t>Damordian</w:t>
      </w:r>
      <w:proofErr w:type="spellEnd"/>
      <w:r w:rsidR="00511F62" w:rsidRPr="001272BC">
        <w:t xml:space="preserve"> (2009) observes “Banks, insurance companies and other financial service firms pose special challenges for an analyst attempting to value </w:t>
      </w:r>
      <w:proofErr w:type="gramStart"/>
      <w:r w:rsidR="00511F62" w:rsidRPr="001272BC">
        <w:t>them, ...</w:t>
      </w:r>
      <w:proofErr w:type="gramEnd"/>
      <w:r w:rsidR="00511F62" w:rsidRPr="001272BC">
        <w:t xml:space="preserve"> the nature of their businesses makes it difficult to define both debt and reinvestment, making the estimation of cash flows much more difficult.” </w:t>
      </w:r>
      <w:r w:rsidR="00511F62">
        <w:t>The debt of insurers is largely recognized to be their expected losses payable. Expected losses increase as the firm’s business (premiums written) increase. Hence, i</w:t>
      </w:r>
      <w:r w:rsidR="00511F62" w:rsidRPr="001272BC">
        <w:t>nsurers increase leverage simply by writing more business</w:t>
      </w:r>
      <w:r w:rsidR="00511F62">
        <w:t>.</w:t>
      </w:r>
    </w:p>
    <w:p w:rsidR="00DD7D58" w:rsidRDefault="00DD7D58" w:rsidP="00DD7D58">
      <w:pPr>
        <w:pStyle w:val="BodyText"/>
        <w:spacing w:after="240"/>
        <w:jc w:val="both"/>
        <w:rPr>
          <w:i/>
        </w:rPr>
      </w:pPr>
      <w:r w:rsidRPr="0017628B">
        <w:rPr>
          <w:i/>
        </w:rPr>
        <w:t xml:space="preserve">Hypothesis </w:t>
      </w:r>
      <w:r>
        <w:rPr>
          <w:i/>
        </w:rPr>
        <w:t>7</w:t>
      </w:r>
      <w:r w:rsidRPr="0017628B">
        <w:rPr>
          <w:i/>
        </w:rPr>
        <w:t xml:space="preserve">: Firm performance is </w:t>
      </w:r>
      <w:r>
        <w:rPr>
          <w:i/>
        </w:rPr>
        <w:t>not significantly</w:t>
      </w:r>
      <w:r w:rsidRPr="0017628B">
        <w:rPr>
          <w:i/>
        </w:rPr>
        <w:t xml:space="preserve"> associated with </w:t>
      </w:r>
      <w:r>
        <w:rPr>
          <w:i/>
        </w:rPr>
        <w:t>firm leverage</w:t>
      </w:r>
      <w:r w:rsidRPr="001272BC">
        <w:rPr>
          <w:i/>
        </w:rPr>
        <w:t>.</w:t>
      </w:r>
    </w:p>
    <w:p w:rsidR="00CA1F40" w:rsidRPr="001C5112" w:rsidRDefault="00CA1F40" w:rsidP="001C5112">
      <w:pPr>
        <w:pStyle w:val="BodyText"/>
        <w:jc w:val="both"/>
        <w:rPr>
          <w:b/>
        </w:rPr>
      </w:pPr>
    </w:p>
    <w:p w:rsidR="00825933" w:rsidRPr="001C5112" w:rsidRDefault="00825933" w:rsidP="00204819">
      <w:pPr>
        <w:pStyle w:val="BodyText"/>
        <w:spacing w:line="480" w:lineRule="auto"/>
        <w:jc w:val="both"/>
        <w:rPr>
          <w:b/>
        </w:rPr>
      </w:pPr>
      <w:r w:rsidRPr="001C5112">
        <w:rPr>
          <w:b/>
          <w:smallCaps/>
        </w:rPr>
        <w:t>II. Data and Methodology</w:t>
      </w:r>
      <w:bookmarkStart w:id="1" w:name="_bookmark5"/>
      <w:bookmarkEnd w:id="1"/>
    </w:p>
    <w:p w:rsidR="00780F6D" w:rsidRPr="00965006" w:rsidRDefault="00780F6D" w:rsidP="00780F6D">
      <w:pPr>
        <w:pStyle w:val="BodyText"/>
        <w:spacing w:line="480" w:lineRule="auto"/>
        <w:ind w:firstLine="720"/>
        <w:jc w:val="both"/>
      </w:pPr>
      <w:proofErr w:type="spellStart"/>
      <w:r>
        <w:t>Larcker</w:t>
      </w:r>
      <w:proofErr w:type="spellEnd"/>
      <w:r>
        <w:t xml:space="preserve"> </w:t>
      </w:r>
      <w:r w:rsidRPr="008166B2">
        <w:rPr>
          <w:i/>
        </w:rPr>
        <w:t>et al</w:t>
      </w:r>
      <w:r>
        <w:t xml:space="preserve">. </w:t>
      </w:r>
      <w:r w:rsidRPr="008166B2">
        <w:t>(2007)</w:t>
      </w:r>
      <w:r>
        <w:t xml:space="preserve"> </w:t>
      </w:r>
      <w:r w:rsidR="0017628B">
        <w:t>classify the large corporate governance literature into two categories, those that consider</w:t>
      </w:r>
      <w:r>
        <w:t xml:space="preserve"> </w:t>
      </w:r>
      <m:oMath>
        <m:sSub>
          <m:sSubPr>
            <m:ctrlPr>
              <w:rPr>
                <w:rFonts w:ascii="Cambria Math" w:hAnsi="Cambria Math"/>
                <w:i/>
              </w:rPr>
            </m:ctrlPr>
          </m:sSubPr>
          <m:e>
            <m:r>
              <w:rPr>
                <w:rFonts w:ascii="Cambria Math" w:hAnsi="Cambria Math"/>
              </w:rPr>
              <m:t>Performance</m:t>
            </m:r>
          </m:e>
          <m:sub>
            <m:r>
              <w:rPr>
                <w:rFonts w:ascii="Cambria Math" w:hAnsi="Cambria Math"/>
              </w:rPr>
              <m:t>it</m:t>
            </m:r>
          </m:sub>
        </m:sSub>
        <m:r>
          <w:rPr>
            <w:rFonts w:ascii="Cambria Math" w:hAnsi="Cambria Math"/>
          </w:rPr>
          <m:t>=f (</m:t>
        </m:r>
        <m:sSub>
          <m:sSubPr>
            <m:ctrlPr>
              <w:rPr>
                <w:rFonts w:ascii="Cambria Math" w:hAnsi="Cambria Math"/>
                <w:i/>
              </w:rPr>
            </m:ctrlPr>
          </m:sSubPr>
          <m:e>
            <m:r>
              <w:rPr>
                <w:rFonts w:ascii="Cambria Math" w:hAnsi="Cambria Math"/>
              </w:rPr>
              <m:t>Governance Factors</m:t>
            </m:r>
          </m:e>
          <m:sub>
            <m:r>
              <w:rPr>
                <w:rFonts w:ascii="Cambria Math" w:hAnsi="Cambria Math"/>
              </w:rPr>
              <m:t>it</m:t>
            </m:r>
          </m:sub>
        </m:sSub>
        <m:r>
          <w:rPr>
            <w:rFonts w:ascii="Cambria Math" w:hAnsi="Cambria Math"/>
          </w:rPr>
          <m:t>)</m:t>
        </m:r>
      </m:oMath>
      <w:r>
        <w:t xml:space="preserve"> and t</w:t>
      </w:r>
      <w:r w:rsidRPr="001272BC">
        <w:t>he mo</w:t>
      </w:r>
      <w:r>
        <w:t>re</w:t>
      </w:r>
      <w:r w:rsidRPr="001272BC">
        <w:t xml:space="preserve"> </w:t>
      </w:r>
      <w:proofErr w:type="gramStart"/>
      <w:r w:rsidR="00CA1F40" w:rsidRPr="001272BC">
        <w:t>common</w:t>
      </w:r>
      <w:r w:rsidR="00CA1F40">
        <w:t xml:space="preserve"> </w:t>
      </w:r>
      <m:oMath>
        <w:proofErr w:type="gramEnd"/>
        <m:sSub>
          <m:sSubPr>
            <m:ctrlPr>
              <w:rPr>
                <w:rFonts w:ascii="Cambria Math" w:hAnsi="Cambria Math"/>
                <w:i/>
              </w:rPr>
            </m:ctrlPr>
          </m:sSubPr>
          <m:e>
            <m:r>
              <w:rPr>
                <w:rFonts w:ascii="Cambria Math" w:hAnsi="Cambria Math"/>
              </w:rPr>
              <m:t>Performance</m:t>
            </m:r>
          </m:e>
          <m:sub>
            <m:r>
              <w:rPr>
                <w:rFonts w:ascii="Cambria Math" w:hAnsi="Cambria Math"/>
              </w:rPr>
              <m:t>it</m:t>
            </m:r>
          </m:sub>
        </m:sSub>
        <m:r>
          <w:rPr>
            <w:rFonts w:ascii="Cambria Math" w:hAnsi="Cambria Math"/>
          </w:rPr>
          <m:t>=f (</m:t>
        </m:r>
        <m:sSub>
          <m:sSubPr>
            <m:ctrlPr>
              <w:rPr>
                <w:rFonts w:ascii="Cambria Math" w:hAnsi="Cambria Math"/>
                <w:i/>
              </w:rPr>
            </m:ctrlPr>
          </m:sSubPr>
          <m:e>
            <m:r>
              <w:rPr>
                <w:rFonts w:ascii="Cambria Math" w:hAnsi="Cambria Math"/>
              </w:rPr>
              <m:t>Governance Factors</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Controls</m:t>
            </m:r>
          </m:e>
          <m:sub>
            <m:r>
              <w:rPr>
                <w:rFonts w:ascii="Cambria Math" w:hAnsi="Cambria Math"/>
              </w:rPr>
              <m:t>it</m:t>
            </m:r>
          </m:sub>
        </m:sSub>
        <m:r>
          <w:rPr>
            <w:rFonts w:ascii="Cambria Math" w:hAnsi="Cambria Math"/>
          </w:rPr>
          <m:t>)</m:t>
        </m:r>
      </m:oMath>
      <w:r>
        <w:rPr>
          <w:rFonts w:eastAsiaTheme="minorEastAsia"/>
        </w:rPr>
        <w:t>. They</w:t>
      </w:r>
      <w:r>
        <w:t xml:space="preserve"> </w:t>
      </w:r>
      <w:r w:rsidRPr="001272BC">
        <w:t>confirm that the</w:t>
      </w:r>
      <w:r>
        <w:t xml:space="preserve"> </w:t>
      </w:r>
      <w:r w:rsidRPr="001272BC">
        <w:t xml:space="preserve">unrestricted model </w:t>
      </w:r>
      <w:r w:rsidR="003C7EF1">
        <w:t xml:space="preserve">(with control variables) </w:t>
      </w:r>
      <w:r w:rsidRPr="001272BC">
        <w:t>is appropriate</w:t>
      </w:r>
      <w:r>
        <w:t xml:space="preserve"> and it is the model we use; more specific</w:t>
      </w:r>
      <w:r w:rsidRPr="00965006">
        <w:t>ally</w:t>
      </w:r>
      <w:r>
        <w:t>, the first nine variables described in the following general function fall into the governance category, the last four are control variables.</w:t>
      </w:r>
    </w:p>
    <w:p w:rsidR="00780F6D" w:rsidRPr="001C5112" w:rsidRDefault="00780F6D" w:rsidP="00780F6D">
      <w:pPr>
        <w:spacing w:after="240"/>
        <w:ind w:left="806" w:hanging="806"/>
        <w:jc w:val="both"/>
        <w:rPr>
          <w:i/>
        </w:rPr>
      </w:pPr>
      <w:r w:rsidRPr="001C5112">
        <w:rPr>
          <w:i/>
        </w:rPr>
        <w:t>T</w:t>
      </w:r>
      <w:r w:rsidR="003C7EF1">
        <w:rPr>
          <w:i/>
        </w:rPr>
        <w:t xml:space="preserve">obin’s </w:t>
      </w:r>
      <w:r w:rsidRPr="001C5112">
        <w:rPr>
          <w:i/>
        </w:rPr>
        <w:t xml:space="preserve">q = </w:t>
      </w:r>
      <w:proofErr w:type="gramStart"/>
      <w:r w:rsidRPr="00F2110E">
        <w:rPr>
          <w:i/>
        </w:rPr>
        <w:t>f</w:t>
      </w:r>
      <w:r w:rsidR="00736532" w:rsidRPr="001C5112">
        <w:rPr>
          <w:i/>
        </w:rPr>
        <w:t>(</w:t>
      </w:r>
      <w:proofErr w:type="gramEnd"/>
      <w:r w:rsidRPr="001C5112">
        <w:rPr>
          <w:i/>
        </w:rPr>
        <w:t xml:space="preserve">Family, </w:t>
      </w:r>
      <w:r w:rsidR="00CA1F40" w:rsidRPr="001C5112">
        <w:rPr>
          <w:i/>
        </w:rPr>
        <w:t xml:space="preserve">Duality, Family*Duality, </w:t>
      </w:r>
      <w:proofErr w:type="spellStart"/>
      <w:r w:rsidRPr="001C5112">
        <w:rPr>
          <w:i/>
        </w:rPr>
        <w:t>Blockholder</w:t>
      </w:r>
      <w:proofErr w:type="spellEnd"/>
      <w:r w:rsidRPr="001C5112">
        <w:rPr>
          <w:i/>
        </w:rPr>
        <w:t>, Blackrock, D&amp;O</w:t>
      </w:r>
      <w:r w:rsidR="00D670C3">
        <w:rPr>
          <w:i/>
        </w:rPr>
        <w:t xml:space="preserve"> Pct</w:t>
      </w:r>
      <w:r w:rsidRPr="001C5112">
        <w:rPr>
          <w:i/>
        </w:rPr>
        <w:t xml:space="preserve">, </w:t>
      </w:r>
      <w:r w:rsidR="00CA1F40" w:rsidRPr="001C5112">
        <w:rPr>
          <w:i/>
        </w:rPr>
        <w:t xml:space="preserve">Current </w:t>
      </w:r>
      <w:r w:rsidRPr="001C5112">
        <w:rPr>
          <w:i/>
        </w:rPr>
        <w:t xml:space="preserve">Compensation, Forward Compensation, Leverage, Liquidity, Risk, Size, </w:t>
      </w:r>
      <w:r w:rsidR="00CA1F40" w:rsidRPr="001C5112">
        <w:rPr>
          <w:i/>
        </w:rPr>
        <w:t>Focus</w:t>
      </w:r>
      <w:r w:rsidR="00736532" w:rsidRPr="001C5112">
        <w:rPr>
          <w:i/>
        </w:rPr>
        <w:t>)</w:t>
      </w:r>
    </w:p>
    <w:p w:rsidR="00496B61" w:rsidRDefault="00825933" w:rsidP="00695705">
      <w:pPr>
        <w:spacing w:line="480" w:lineRule="auto"/>
        <w:ind w:firstLine="720"/>
        <w:jc w:val="both"/>
      </w:pPr>
      <w:r w:rsidRPr="00695705">
        <w:t>Th</w:t>
      </w:r>
      <w:r w:rsidR="00695705">
        <w:t>e</w:t>
      </w:r>
      <w:r w:rsidRPr="00695705">
        <w:t xml:space="preserve"> study relies on a sample of </w:t>
      </w:r>
      <w:r w:rsidR="00695705">
        <w:t xml:space="preserve">702 </w:t>
      </w:r>
      <w:r w:rsidRPr="00695705">
        <w:t xml:space="preserve">observations of </w:t>
      </w:r>
      <w:r w:rsidR="00695705">
        <w:t>86</w:t>
      </w:r>
      <w:r w:rsidR="00695705" w:rsidRPr="00695705">
        <w:t xml:space="preserve"> </w:t>
      </w:r>
      <w:r w:rsidRPr="00695705">
        <w:t xml:space="preserve">publicly traded </w:t>
      </w:r>
      <w:r w:rsidR="00695705">
        <w:t xml:space="preserve">insurance </w:t>
      </w:r>
      <w:r w:rsidRPr="00695705">
        <w:t xml:space="preserve">corporations operating during the period from 2006 through 2014. The </w:t>
      </w:r>
      <w:proofErr w:type="gramStart"/>
      <w:r w:rsidRPr="00695705">
        <w:t>end point</w:t>
      </w:r>
      <w:proofErr w:type="gramEnd"/>
      <w:r w:rsidRPr="00695705">
        <w:t xml:space="preserve"> of the sample is the most recently available year; the starting point of 2006 is selected because the SEC changed their reporting requirements for compensation data effective that yea</w:t>
      </w:r>
      <w:r w:rsidR="00695705">
        <w:t>r.</w:t>
      </w:r>
      <w:r w:rsidR="00516FAE">
        <w:t xml:space="preserve"> </w:t>
      </w:r>
      <w:r w:rsidR="00695705">
        <w:t xml:space="preserve">The potential sample size of 774 </w:t>
      </w:r>
      <w:r w:rsidRPr="00695705">
        <w:t>observations</w:t>
      </w:r>
      <w:r w:rsidR="00695705">
        <w:t xml:space="preserve"> </w:t>
      </w:r>
      <w:proofErr w:type="gramStart"/>
      <w:r w:rsidRPr="00695705">
        <w:t>is reduced</w:t>
      </w:r>
      <w:proofErr w:type="gramEnd"/>
      <w:r w:rsidRPr="00695705">
        <w:t xml:space="preserve"> to </w:t>
      </w:r>
      <w:r w:rsidR="00695705">
        <w:t>702</w:t>
      </w:r>
      <w:r w:rsidRPr="00695705">
        <w:t xml:space="preserve"> for a variety of reasons.</w:t>
      </w:r>
      <w:r w:rsidR="00516FAE">
        <w:t xml:space="preserve"> </w:t>
      </w:r>
      <w:r w:rsidRPr="00695705">
        <w:t>These include the consequence of mergers, the fact that some firms started business after 2006, missing or incomplete SEC forms, and in some cases because the US Treasury took a significant ownership share as a consequence of the financial crisis, starting in 2008.</w:t>
      </w:r>
    </w:p>
    <w:p w:rsidR="00496B61" w:rsidRDefault="00496B61" w:rsidP="00496B61">
      <w:pPr>
        <w:pStyle w:val="BodyText"/>
        <w:spacing w:line="480" w:lineRule="auto"/>
        <w:ind w:firstLine="720"/>
        <w:jc w:val="both"/>
      </w:pPr>
      <w:r w:rsidRPr="001272BC">
        <w:t>Corporate control is an issue that is at the center of the performance/governance debate. Control of the firm carries with it the power to expropriate shareholder wealth. One purpose of the Agency governance structure is to reduce this potential conflict. But empirically identifying an ownership level that grants the owner control is difficult. Corporate ownership data collected from firm annual reports and proxy statements demonstrate</w:t>
      </w:r>
      <w:r w:rsidR="00695705">
        <w:t>s</w:t>
      </w:r>
      <w:r w:rsidRPr="001272BC">
        <w:t xml:space="preserve"> that the control by a small group of individuals and families may be more common than previously thought (Holderness </w:t>
      </w:r>
      <w:r w:rsidRPr="001272BC">
        <w:rPr>
          <w:i/>
        </w:rPr>
        <w:t>et al</w:t>
      </w:r>
      <w:r w:rsidRPr="001272BC">
        <w:t xml:space="preserve">. 1999; </w:t>
      </w:r>
      <w:r w:rsidRPr="001272BC">
        <w:lastRenderedPageBreak/>
        <w:t xml:space="preserve">Klein </w:t>
      </w:r>
      <w:r w:rsidRPr="001272BC">
        <w:rPr>
          <w:i/>
        </w:rPr>
        <w:t>et al</w:t>
      </w:r>
      <w:r w:rsidRPr="001272BC">
        <w:t>. 2005).</w:t>
      </w:r>
      <w:r w:rsidRPr="001272BC">
        <w:rPr>
          <w:rStyle w:val="FootnoteReference"/>
        </w:rPr>
        <w:footnoteReference w:id="9"/>
      </w:r>
    </w:p>
    <w:p w:rsidR="00496B61" w:rsidRPr="001272BC" w:rsidRDefault="00496B61" w:rsidP="00496B61">
      <w:pPr>
        <w:pStyle w:val="BodyText"/>
        <w:spacing w:line="480" w:lineRule="auto"/>
        <w:ind w:firstLine="720"/>
        <w:jc w:val="both"/>
      </w:pPr>
      <w:r w:rsidRPr="001272BC">
        <w:t xml:space="preserve">We restrict our study to the </w:t>
      </w:r>
      <w:r>
        <w:t>insurance</w:t>
      </w:r>
      <w:r w:rsidRPr="001272BC">
        <w:t xml:space="preserve"> </w:t>
      </w:r>
      <w:r>
        <w:t xml:space="preserve">industry </w:t>
      </w:r>
      <w:r w:rsidRPr="001272BC">
        <w:t>because recent studies demonstrated a high percent</w:t>
      </w:r>
      <w:r>
        <w:t>age of family ownership in the</w:t>
      </w:r>
      <w:r w:rsidRPr="001272BC">
        <w:t xml:space="preserve"> industr</w:t>
      </w:r>
      <w:r>
        <w:t>y</w:t>
      </w:r>
      <w:r w:rsidRPr="001272BC">
        <w:t xml:space="preserve"> (Barrese </w:t>
      </w:r>
      <w:r w:rsidRPr="001272BC">
        <w:rPr>
          <w:i/>
        </w:rPr>
        <w:t>et al</w:t>
      </w:r>
      <w:r w:rsidRPr="001272BC">
        <w:t xml:space="preserve">. 2007; Huang </w:t>
      </w:r>
      <w:r w:rsidRPr="001272BC">
        <w:rPr>
          <w:i/>
        </w:rPr>
        <w:t>et al</w:t>
      </w:r>
      <w:r w:rsidR="00AA64CC">
        <w:t>. 2001</w:t>
      </w:r>
      <w:r w:rsidRPr="001272BC">
        <w:t>)</w:t>
      </w:r>
      <w:r w:rsidR="00AA5320">
        <w:t xml:space="preserve"> and because, as a regulated industry, the lower volatility of performance enhances the credibility of results that find a statistical difference between firm performance levels</w:t>
      </w:r>
      <w:r w:rsidRPr="001272BC">
        <w:t>.</w:t>
      </w:r>
      <w:r>
        <w:t xml:space="preserve"> </w:t>
      </w:r>
      <w:r w:rsidR="00AA5320">
        <w:t>This s</w:t>
      </w:r>
      <w:r w:rsidRPr="001272BC">
        <w:t xml:space="preserve">ection </w:t>
      </w:r>
      <w:r>
        <w:t>describes the sample, data assembly and variable construction, and discusses the models investigated. Section I</w:t>
      </w:r>
      <w:r w:rsidR="00AA5320">
        <w:t>II</w:t>
      </w:r>
      <w:r>
        <w:t xml:space="preserve"> presents the empirical results and Section </w:t>
      </w:r>
      <w:r w:rsidR="00AA5320">
        <w:t>I</w:t>
      </w:r>
      <w:r>
        <w:t>V concludes.</w:t>
      </w:r>
    </w:p>
    <w:p w:rsidR="00605DF0" w:rsidRDefault="00825933" w:rsidP="00605DF0">
      <w:pPr>
        <w:spacing w:line="480" w:lineRule="auto"/>
        <w:ind w:firstLine="720"/>
        <w:jc w:val="both"/>
        <w:rPr>
          <w:rStyle w:val="FootnoteReference"/>
        </w:rPr>
      </w:pPr>
      <w:r w:rsidRPr="001272BC">
        <w:t xml:space="preserve">The insurance sample is derived from all active and publicly traded insurance firms on the Bureau van </w:t>
      </w:r>
      <w:proofErr w:type="spellStart"/>
      <w:r w:rsidRPr="001272BC">
        <w:t>Dijk’s</w:t>
      </w:r>
      <w:proofErr w:type="spellEnd"/>
      <w:r w:rsidRPr="001272BC">
        <w:t xml:space="preserve"> ISIS database</w:t>
      </w:r>
      <w:r w:rsidR="0071529E">
        <w:t xml:space="preserve"> as well as active insurers with publicly traded parents from the NAIC’s statutory reports</w:t>
      </w:r>
      <w:r w:rsidRPr="001272BC">
        <w:t>.</w:t>
      </w:r>
      <w:r w:rsidR="00CF663E">
        <w:t xml:space="preserve"> W</w:t>
      </w:r>
      <w:r w:rsidRPr="001272BC">
        <w:t xml:space="preserve">e exclude firms for a variety of reasons that are standard in the insurance literature: those that are primarily brokers, title or surety firms, health care providers rather than insurers, and firms that are not primarily listed on a North American exchange in USD (to avoid currency conversion issues). </w:t>
      </w:r>
      <w:r w:rsidR="00605DF0">
        <w:t>W</w:t>
      </w:r>
      <w:r w:rsidRPr="001272BC">
        <w:t xml:space="preserve">e also exclude firms that have low trading volume (average daily volume below </w:t>
      </w:r>
      <w:proofErr w:type="gramStart"/>
      <w:r w:rsidR="003C10F4" w:rsidRPr="001272BC">
        <w:t>10</w:t>
      </w:r>
      <w:r w:rsidR="003C10F4">
        <w:t>,000</w:t>
      </w:r>
      <w:r w:rsidRPr="001272BC">
        <w:t>) and therefore suspicious price</w:t>
      </w:r>
      <w:proofErr w:type="gramEnd"/>
      <w:r w:rsidRPr="001272BC">
        <w:t xml:space="preserve"> and market value information.</w:t>
      </w:r>
      <w:r w:rsidRPr="001272BC">
        <w:rPr>
          <w:rStyle w:val="FootnoteReference"/>
        </w:rPr>
        <w:footnoteReference w:id="10"/>
      </w:r>
      <w:r w:rsidRPr="001272BC">
        <w:t xml:space="preserve"> The remaining 8</w:t>
      </w:r>
      <w:r w:rsidR="00605DF0">
        <w:t>6</w:t>
      </w:r>
      <w:r w:rsidRPr="001272BC">
        <w:t xml:space="preserve"> firm</w:t>
      </w:r>
      <w:r w:rsidR="00605DF0">
        <w:t>s account</w:t>
      </w:r>
      <w:r w:rsidRPr="001272BC">
        <w:t xml:space="preserve"> for 55.48 percent of gross premiums written by US domiciled insurers</w:t>
      </w:r>
      <w:r w:rsidR="000A3B3F">
        <w:t xml:space="preserve"> </w:t>
      </w:r>
      <w:r w:rsidR="0022301A">
        <w:t>in year 20</w:t>
      </w:r>
      <w:r w:rsidR="00CD4A2D">
        <w:t>14</w:t>
      </w:r>
      <w:r w:rsidR="0022301A">
        <w:t>.</w:t>
      </w:r>
      <w:r w:rsidR="00D670C3" w:rsidRPr="001272BC">
        <w:rPr>
          <w:rStyle w:val="FootnoteReference"/>
        </w:rPr>
        <w:footnoteReference w:id="11"/>
      </w:r>
      <w:r w:rsidRPr="001272BC">
        <w:t xml:space="preserve"> </w:t>
      </w:r>
      <w:r w:rsidR="00F547D2">
        <w:t xml:space="preserve">An advantage of the </w:t>
      </w:r>
      <w:r w:rsidR="00605DF0">
        <w:t>study of insurance</w:t>
      </w:r>
      <w:r w:rsidR="00F547D2">
        <w:t xml:space="preserve"> is the fact that the sector firms are</w:t>
      </w:r>
      <w:r w:rsidRPr="001272BC">
        <w:t xml:space="preserve"> highly </w:t>
      </w:r>
      <w:r w:rsidR="00F547D2" w:rsidRPr="001272BC">
        <w:t>regulated;</w:t>
      </w:r>
      <w:r w:rsidRPr="001272BC">
        <w:t xml:space="preserve"> performance variation</w:t>
      </w:r>
      <w:r w:rsidR="00F547D2">
        <w:t>s</w:t>
      </w:r>
      <w:r w:rsidRPr="001272BC">
        <w:t xml:space="preserve"> should not be as high as experienced in non-regulated industries. Thus, any finding of a performance difference in our study strengthens </w:t>
      </w:r>
      <w:r w:rsidRPr="001272BC">
        <w:lastRenderedPageBreak/>
        <w:t>the ability to generalize from the results.</w:t>
      </w:r>
    </w:p>
    <w:p w:rsidR="00FE7ECB" w:rsidRPr="0068558E" w:rsidRDefault="0068558E" w:rsidP="00FE7ECB">
      <w:pPr>
        <w:pStyle w:val="Default"/>
        <w:keepNext/>
        <w:spacing w:line="480" w:lineRule="auto"/>
        <w:rPr>
          <w:smallCaps/>
          <w:color w:val="auto"/>
        </w:rPr>
      </w:pPr>
      <w:r>
        <w:rPr>
          <w:bCs/>
          <w:smallCaps/>
          <w:color w:val="auto"/>
        </w:rPr>
        <w:t>II.</w:t>
      </w:r>
      <w:r w:rsidR="00FE7ECB" w:rsidRPr="0068558E">
        <w:rPr>
          <w:bCs/>
          <w:smallCaps/>
          <w:color w:val="auto"/>
        </w:rPr>
        <w:t xml:space="preserve">1 Performance </w:t>
      </w:r>
    </w:p>
    <w:p w:rsidR="00FE7ECB" w:rsidRPr="001272BC" w:rsidRDefault="00FE7ECB" w:rsidP="00FE7ECB">
      <w:pPr>
        <w:pStyle w:val="Default"/>
        <w:spacing w:line="480" w:lineRule="auto"/>
        <w:ind w:firstLine="720"/>
        <w:jc w:val="both"/>
        <w:rPr>
          <w:color w:val="auto"/>
        </w:rPr>
      </w:pPr>
      <w:r w:rsidRPr="001272BC">
        <w:rPr>
          <w:color w:val="auto"/>
        </w:rPr>
        <w:t xml:space="preserve">Three traditional dimensions of corporate performance are considered in the academic literature: corporate profitability, productivity, and market valuation (Firer </w:t>
      </w:r>
      <w:r w:rsidR="00D2515D">
        <w:rPr>
          <w:color w:val="auto"/>
        </w:rPr>
        <w:t>and</w:t>
      </w:r>
      <w:r w:rsidRPr="001272BC">
        <w:rPr>
          <w:color w:val="auto"/>
        </w:rPr>
        <w:t xml:space="preserve"> Williams 2003). Among the measures of profitability and market valuation are Tobin’s </w:t>
      </w:r>
      <w:r w:rsidRPr="00713AAC">
        <w:rPr>
          <w:i/>
          <w:color w:val="auto"/>
        </w:rPr>
        <w:t>q</w:t>
      </w:r>
      <w:r w:rsidRPr="001272BC">
        <w:rPr>
          <w:color w:val="auto"/>
        </w:rPr>
        <w:t>, the return on equity (ROE), and the return on assets (ROA).</w:t>
      </w:r>
    </w:p>
    <w:p w:rsidR="00E1257E" w:rsidRDefault="00FE7ECB" w:rsidP="00E1257E">
      <w:pPr>
        <w:pStyle w:val="Default"/>
        <w:spacing w:line="480" w:lineRule="auto"/>
        <w:ind w:firstLine="720"/>
        <w:jc w:val="both"/>
        <w:rPr>
          <w:color w:val="auto"/>
        </w:rPr>
      </w:pPr>
      <w:r>
        <w:rPr>
          <w:color w:val="auto"/>
        </w:rPr>
        <w:t>T</w:t>
      </w:r>
      <w:r w:rsidRPr="001272BC">
        <w:rPr>
          <w:color w:val="auto"/>
        </w:rPr>
        <w:t>he computation of a firm’s ROA and ROE is straightforward</w:t>
      </w:r>
      <w:r>
        <w:rPr>
          <w:color w:val="auto"/>
        </w:rPr>
        <w:t xml:space="preserve"> but</w:t>
      </w:r>
      <w:r w:rsidRPr="001272BC">
        <w:rPr>
          <w:color w:val="auto"/>
        </w:rPr>
        <w:t xml:space="preserve"> the </w:t>
      </w:r>
      <w:r w:rsidR="00E1257E">
        <w:rPr>
          <w:color w:val="auto"/>
        </w:rPr>
        <w:t>measure validity</w:t>
      </w:r>
      <w:r w:rsidRPr="001272BC">
        <w:rPr>
          <w:color w:val="auto"/>
        </w:rPr>
        <w:t xml:space="preserve"> is </w:t>
      </w:r>
      <w:r w:rsidR="00E1257E">
        <w:rPr>
          <w:color w:val="auto"/>
        </w:rPr>
        <w:t>complicated</w:t>
      </w:r>
      <w:r w:rsidRPr="001272BC">
        <w:rPr>
          <w:color w:val="auto"/>
        </w:rPr>
        <w:t xml:space="preserve"> when the sample covers multiple </w:t>
      </w:r>
      <w:proofErr w:type="gramStart"/>
      <w:r w:rsidRPr="001272BC">
        <w:rPr>
          <w:color w:val="auto"/>
        </w:rPr>
        <w:t>time periods</w:t>
      </w:r>
      <w:proofErr w:type="gramEnd"/>
      <w:r w:rsidRPr="001272BC">
        <w:rPr>
          <w:color w:val="auto"/>
        </w:rPr>
        <w:t xml:space="preserve"> or industries.</w:t>
      </w:r>
      <w:r w:rsidR="00516FAE">
        <w:rPr>
          <w:color w:val="auto"/>
        </w:rPr>
        <w:t xml:space="preserve"> </w:t>
      </w:r>
      <w:r>
        <w:rPr>
          <w:color w:val="auto"/>
        </w:rPr>
        <w:t>T</w:t>
      </w:r>
      <w:r w:rsidRPr="001272BC">
        <w:rPr>
          <w:color w:val="auto"/>
        </w:rPr>
        <w:t>he value of a low ROA</w:t>
      </w:r>
      <w:r w:rsidR="0022301A">
        <w:rPr>
          <w:color w:val="auto"/>
        </w:rPr>
        <w:t xml:space="preserve"> or RO</w:t>
      </w:r>
      <w:r w:rsidRPr="001272BC">
        <w:rPr>
          <w:color w:val="auto"/>
        </w:rPr>
        <w:t xml:space="preserve">E in a time period when economic conditions are generally good may be considered a high value in a period of recession. </w:t>
      </w:r>
      <w:r>
        <w:rPr>
          <w:color w:val="auto"/>
        </w:rPr>
        <w:t>I</w:t>
      </w:r>
      <w:r w:rsidRPr="001272BC">
        <w:rPr>
          <w:color w:val="auto"/>
        </w:rPr>
        <w:t xml:space="preserve">nformation from </w:t>
      </w:r>
      <w:proofErr w:type="spellStart"/>
      <w:r w:rsidRPr="001272BC">
        <w:rPr>
          <w:color w:val="auto"/>
        </w:rPr>
        <w:t>Compustat</w:t>
      </w:r>
      <w:proofErr w:type="spellEnd"/>
      <w:r w:rsidRPr="001272BC">
        <w:rPr>
          <w:color w:val="auto"/>
        </w:rPr>
        <w:t xml:space="preserve"> for all US corporations in the 200</w:t>
      </w:r>
      <w:r>
        <w:rPr>
          <w:color w:val="auto"/>
        </w:rPr>
        <w:t>6</w:t>
      </w:r>
      <w:r w:rsidRPr="001272BC">
        <w:rPr>
          <w:color w:val="auto"/>
        </w:rPr>
        <w:t xml:space="preserve">-2014 </w:t>
      </w:r>
      <w:proofErr w:type="gramStart"/>
      <w:r w:rsidRPr="001272BC">
        <w:rPr>
          <w:color w:val="auto"/>
        </w:rPr>
        <w:t>period</w:t>
      </w:r>
      <w:proofErr w:type="gramEnd"/>
      <w:r>
        <w:rPr>
          <w:color w:val="auto"/>
        </w:rPr>
        <w:t xml:space="preserve"> </w:t>
      </w:r>
      <w:r w:rsidR="00E1257E">
        <w:rPr>
          <w:color w:val="auto"/>
        </w:rPr>
        <w:t xml:space="preserve">of our sample </w:t>
      </w:r>
      <w:r>
        <w:rPr>
          <w:color w:val="auto"/>
        </w:rPr>
        <w:t xml:space="preserve">shows that </w:t>
      </w:r>
      <w:r w:rsidRPr="001272BC">
        <w:rPr>
          <w:color w:val="auto"/>
        </w:rPr>
        <w:t>a 6 percent ROE in 2008 would be high</w:t>
      </w:r>
      <w:r>
        <w:rPr>
          <w:color w:val="auto"/>
        </w:rPr>
        <w:t xml:space="preserve"> but t</w:t>
      </w:r>
      <w:r w:rsidRPr="001272BC">
        <w:rPr>
          <w:color w:val="auto"/>
        </w:rPr>
        <w:t>he same val</w:t>
      </w:r>
      <w:r>
        <w:rPr>
          <w:color w:val="auto"/>
        </w:rPr>
        <w:t xml:space="preserve">ue in </w:t>
      </w:r>
      <w:r w:rsidR="006D2EF1">
        <w:rPr>
          <w:color w:val="auto"/>
        </w:rPr>
        <w:t xml:space="preserve">other </w:t>
      </w:r>
      <w:r>
        <w:rPr>
          <w:color w:val="auto"/>
        </w:rPr>
        <w:t>years would be low.</w:t>
      </w:r>
      <w:r>
        <w:rPr>
          <w:rStyle w:val="FootnoteReference"/>
          <w:color w:val="auto"/>
        </w:rPr>
        <w:footnoteReference w:id="12"/>
      </w:r>
      <w:r w:rsidR="00E1257E">
        <w:rPr>
          <w:color w:val="auto"/>
        </w:rPr>
        <w:t xml:space="preserve"> </w:t>
      </w:r>
      <w:r>
        <w:rPr>
          <w:color w:val="auto"/>
        </w:rPr>
        <w:t xml:space="preserve">In </w:t>
      </w:r>
      <w:r w:rsidRPr="001272BC">
        <w:rPr>
          <w:color w:val="auto"/>
        </w:rPr>
        <w:t xml:space="preserve">addition, the ratios ignore the firm’s capital structure (debt vs. equity) so a bias is created when a </w:t>
      </w:r>
      <w:r>
        <w:rPr>
          <w:color w:val="auto"/>
        </w:rPr>
        <w:t>sample of firms contains a mix</w:t>
      </w:r>
      <w:r w:rsidRPr="001272BC">
        <w:rPr>
          <w:color w:val="auto"/>
        </w:rPr>
        <w:t xml:space="preserve"> of industries </w:t>
      </w:r>
      <w:r>
        <w:rPr>
          <w:color w:val="auto"/>
        </w:rPr>
        <w:t>with</w:t>
      </w:r>
      <w:r w:rsidRPr="001272BC">
        <w:rPr>
          <w:color w:val="auto"/>
        </w:rPr>
        <w:t xml:space="preserve"> different debt structures.</w:t>
      </w:r>
      <w:r>
        <w:rPr>
          <w:color w:val="auto"/>
        </w:rPr>
        <w:t xml:space="preserve"> </w:t>
      </w:r>
    </w:p>
    <w:p w:rsidR="00FE7ECB" w:rsidRPr="00E1257E" w:rsidRDefault="00FE7ECB" w:rsidP="00E1257E">
      <w:pPr>
        <w:pStyle w:val="Default"/>
        <w:spacing w:line="480" w:lineRule="auto"/>
        <w:ind w:firstLine="720"/>
        <w:jc w:val="both"/>
        <w:rPr>
          <w:color w:val="auto"/>
        </w:rPr>
      </w:pPr>
      <w:r>
        <w:rPr>
          <w:color w:val="auto"/>
        </w:rPr>
        <w:t xml:space="preserve">While we perform robustness checks using ROA and ROE, we </w:t>
      </w:r>
      <w:r>
        <w:t>focus on</w:t>
      </w:r>
      <w:r w:rsidRPr="001272BC">
        <w:t xml:space="preserve"> Tobin’s </w:t>
      </w:r>
      <w:r w:rsidRPr="001272BC">
        <w:rPr>
          <w:i/>
        </w:rPr>
        <w:t>q</w:t>
      </w:r>
      <w:r w:rsidRPr="001272BC">
        <w:t xml:space="preserve"> as a measure of performance. Theoretic</w:t>
      </w:r>
      <w:r w:rsidR="00CD4A2D">
        <w:t>al</w:t>
      </w:r>
      <w:r w:rsidRPr="001272BC">
        <w:t xml:space="preserve"> Tobin’s </w:t>
      </w:r>
      <w:r w:rsidRPr="001272BC">
        <w:rPr>
          <w:i/>
        </w:rPr>
        <w:t xml:space="preserve">q </w:t>
      </w:r>
      <w:r w:rsidRPr="001272BC">
        <w:t>is the ratio of the market value of a firm to the replacement cost of its assets (</w:t>
      </w:r>
      <w:proofErr w:type="spellStart"/>
      <w:r w:rsidRPr="001272BC">
        <w:t>Brainard</w:t>
      </w:r>
      <w:proofErr w:type="spellEnd"/>
      <w:r w:rsidRPr="001272BC">
        <w:t xml:space="preserve"> </w:t>
      </w:r>
      <w:r w:rsidR="00D2515D">
        <w:t>and</w:t>
      </w:r>
      <w:r w:rsidRPr="001272BC">
        <w:t xml:space="preserve"> Tobin, 1968). </w:t>
      </w:r>
      <w:r w:rsidRPr="001272BC">
        <w:rPr>
          <w:color w:val="030303"/>
        </w:rPr>
        <w:t xml:space="preserve">Tobin’s </w:t>
      </w:r>
      <w:r w:rsidRPr="001272BC">
        <w:rPr>
          <w:i/>
          <w:color w:val="030303"/>
        </w:rPr>
        <w:t xml:space="preserve">q </w:t>
      </w:r>
      <w:r w:rsidRPr="001272BC">
        <w:rPr>
          <w:color w:val="030303"/>
        </w:rPr>
        <w:t>is often interpreted as a measure of managerial performance (Lang</w:t>
      </w:r>
      <w:r w:rsidR="00AA64CC">
        <w:rPr>
          <w:color w:val="030303"/>
        </w:rPr>
        <w:t xml:space="preserve"> </w:t>
      </w:r>
      <w:r w:rsidR="00AA64CC">
        <w:rPr>
          <w:i/>
          <w:color w:val="030303"/>
        </w:rPr>
        <w:t>et al.</w:t>
      </w:r>
      <w:r w:rsidRPr="001272BC">
        <w:rPr>
          <w:color w:val="030303"/>
        </w:rPr>
        <w:t xml:space="preserve"> 1989). </w:t>
      </w:r>
      <w:r w:rsidRPr="001272BC">
        <w:t xml:space="preserve">The logic underlying the use of </w:t>
      </w:r>
      <w:r w:rsidRPr="001272BC">
        <w:rPr>
          <w:i/>
        </w:rPr>
        <w:t xml:space="preserve">q </w:t>
      </w:r>
      <w:r w:rsidRPr="001272BC">
        <w:t xml:space="preserve">is the efficient market hypothesis. </w:t>
      </w:r>
      <w:r w:rsidR="00CD4A2D">
        <w:t xml:space="preserve">A consequence of the efficient financial markets hypothesis is that the stock price (the numerator of Tobin’s </w:t>
      </w:r>
      <w:r w:rsidR="00CD4A2D" w:rsidRPr="001C2DAB">
        <w:rPr>
          <w:i/>
        </w:rPr>
        <w:t>q</w:t>
      </w:r>
      <w:r w:rsidR="00CD4A2D">
        <w:t xml:space="preserve">) will adjust to yield a competitive return; if the return a firm can earn on retained earnings is higher than the return generally available in the market, firm value is enhanced and Tobin’s </w:t>
      </w:r>
      <w:r w:rsidR="00CD4A2D">
        <w:rPr>
          <w:i/>
        </w:rPr>
        <w:t>q</w:t>
      </w:r>
      <w:r w:rsidR="00CD4A2D">
        <w:t xml:space="preserve"> increases (</w:t>
      </w:r>
      <w:proofErr w:type="spellStart"/>
      <w:r w:rsidR="00CD4A2D">
        <w:t>Brainard</w:t>
      </w:r>
      <w:proofErr w:type="spellEnd"/>
      <w:r w:rsidR="00CD4A2D">
        <w:t xml:space="preserve"> </w:t>
      </w:r>
      <w:r w:rsidR="00D2515D">
        <w:t>and</w:t>
      </w:r>
      <w:r w:rsidR="00CD4A2D">
        <w:t xml:space="preserve"> Tobin, 1968</w:t>
      </w:r>
      <w:r w:rsidRPr="001272BC">
        <w:t>).</w:t>
      </w:r>
    </w:p>
    <w:p w:rsidR="00FE7ECB" w:rsidRPr="00477A28" w:rsidRDefault="00FE7ECB" w:rsidP="00FE7ECB">
      <w:pPr>
        <w:pStyle w:val="Default"/>
        <w:spacing w:line="480" w:lineRule="auto"/>
        <w:ind w:firstLine="720"/>
        <w:jc w:val="both"/>
        <w:rPr>
          <w:color w:val="auto"/>
        </w:rPr>
      </w:pPr>
      <w:r>
        <w:rPr>
          <w:rFonts w:eastAsiaTheme="minorHAnsi"/>
        </w:rPr>
        <w:lastRenderedPageBreak/>
        <w:t xml:space="preserve">The </w:t>
      </w:r>
      <w:r w:rsidRPr="001272BC">
        <w:rPr>
          <w:rFonts w:eastAsiaTheme="minorHAnsi"/>
        </w:rPr>
        <w:t>comput</w:t>
      </w:r>
      <w:r>
        <w:rPr>
          <w:rFonts w:eastAsiaTheme="minorHAnsi"/>
        </w:rPr>
        <w:t>ation of</w:t>
      </w:r>
      <w:r w:rsidRPr="001272BC">
        <w:rPr>
          <w:rFonts w:eastAsiaTheme="minorHAnsi"/>
        </w:rPr>
        <w:t xml:space="preserve"> a theoretically correct </w:t>
      </w:r>
      <w:r w:rsidRPr="001272BC">
        <w:rPr>
          <w:rFonts w:eastAsiaTheme="minorHAnsi"/>
          <w:i/>
        </w:rPr>
        <w:t>q</w:t>
      </w:r>
      <w:r w:rsidRPr="001272BC">
        <w:rPr>
          <w:rFonts w:eastAsiaTheme="minorHAnsi"/>
        </w:rPr>
        <w:t xml:space="preserve"> </w:t>
      </w:r>
      <w:r>
        <w:rPr>
          <w:rFonts w:eastAsiaTheme="minorHAnsi"/>
        </w:rPr>
        <w:t xml:space="preserve">is difficult </w:t>
      </w:r>
      <w:r w:rsidRPr="001272BC">
        <w:rPr>
          <w:rFonts w:eastAsiaTheme="minorHAnsi"/>
        </w:rPr>
        <w:t>because the measure requires obtaining the replacement value of assets, as well as the market value of a firm’s common and preferred stock, and its debt.</w:t>
      </w:r>
      <w:r w:rsidR="00477A28">
        <w:rPr>
          <w:rFonts w:eastAsiaTheme="minorHAnsi"/>
        </w:rPr>
        <w:t xml:space="preserve"> Calculating </w:t>
      </w:r>
      <w:r w:rsidR="00477A28">
        <w:rPr>
          <w:rFonts w:eastAsiaTheme="minorHAnsi"/>
          <w:i/>
        </w:rPr>
        <w:t>q</w:t>
      </w:r>
      <w:r w:rsidR="00477A28">
        <w:rPr>
          <w:rFonts w:eastAsiaTheme="minorHAnsi"/>
        </w:rPr>
        <w:t xml:space="preserve"> for our sample is further complicated due to the </w:t>
      </w:r>
      <w:r w:rsidR="006D2EF1">
        <w:rPr>
          <w:rFonts w:eastAsiaTheme="minorHAnsi"/>
        </w:rPr>
        <w:t xml:space="preserve">often high </w:t>
      </w:r>
      <w:r w:rsidR="00477A28">
        <w:rPr>
          <w:rFonts w:eastAsiaTheme="minorHAnsi"/>
        </w:rPr>
        <w:t xml:space="preserve">value of assets and liabilities for financial services firms. Insurance firms hold very large asset portfolios but very little debt (because future reported and estimated claims must be counted as a liability). We therefore use an intuitive measure of </w:t>
      </w:r>
      <w:r w:rsidR="00477A28">
        <w:rPr>
          <w:rFonts w:eastAsiaTheme="minorHAnsi"/>
          <w:i/>
        </w:rPr>
        <w:t>q</w:t>
      </w:r>
      <w:r w:rsidR="00477A28">
        <w:rPr>
          <w:rFonts w:eastAsiaTheme="minorHAnsi"/>
        </w:rPr>
        <w:t xml:space="preserve"> – the market value of a firm divided by its shareholders’ equity</w:t>
      </w:r>
      <w:r w:rsidR="00AA219B">
        <w:rPr>
          <w:rFonts w:eastAsiaTheme="minorHAnsi"/>
        </w:rPr>
        <w:t>.</w:t>
      </w:r>
    </w:p>
    <w:p w:rsidR="00FE7ECB" w:rsidRPr="00C13339" w:rsidRDefault="00FE7ECB" w:rsidP="00FE7ECB">
      <w:pPr>
        <w:pStyle w:val="Default"/>
        <w:spacing w:line="480" w:lineRule="auto"/>
        <w:ind w:firstLine="720"/>
        <w:jc w:val="both"/>
        <w:rPr>
          <w:color w:val="auto"/>
        </w:rPr>
      </w:pPr>
      <w:r w:rsidRPr="001272BC">
        <w:rPr>
          <w:color w:val="auto"/>
        </w:rPr>
        <w:t xml:space="preserve">The </w:t>
      </w:r>
      <w:r w:rsidRPr="001C2DAB">
        <w:rPr>
          <w:i/>
          <w:color w:val="auto"/>
        </w:rPr>
        <w:t>q</w:t>
      </w:r>
      <w:r w:rsidRPr="001272BC">
        <w:rPr>
          <w:color w:val="auto"/>
        </w:rPr>
        <w:t xml:space="preserve"> ratio values </w:t>
      </w:r>
      <w:r>
        <w:rPr>
          <w:color w:val="auto"/>
        </w:rPr>
        <w:t xml:space="preserve">are </w:t>
      </w:r>
      <w:r w:rsidRPr="001272BC">
        <w:rPr>
          <w:color w:val="auto"/>
        </w:rPr>
        <w:t xml:space="preserve">less sensitive to </w:t>
      </w:r>
      <w:r w:rsidR="0033742E">
        <w:rPr>
          <w:color w:val="auto"/>
        </w:rPr>
        <w:t xml:space="preserve">the </w:t>
      </w:r>
      <w:r>
        <w:rPr>
          <w:color w:val="auto"/>
        </w:rPr>
        <w:t xml:space="preserve">variety of </w:t>
      </w:r>
      <w:r w:rsidRPr="001272BC">
        <w:rPr>
          <w:color w:val="auto"/>
        </w:rPr>
        <w:t>time period</w:t>
      </w:r>
      <w:r>
        <w:rPr>
          <w:color w:val="auto"/>
        </w:rPr>
        <w:t>s or industries</w:t>
      </w:r>
      <w:r w:rsidR="006D2EF1">
        <w:rPr>
          <w:color w:val="auto"/>
        </w:rPr>
        <w:t xml:space="preserve"> than ROA or ROE</w:t>
      </w:r>
      <w:r w:rsidR="0033742E">
        <w:rPr>
          <w:color w:val="auto"/>
        </w:rPr>
        <w:t xml:space="preserve">. </w:t>
      </w:r>
      <w:r w:rsidRPr="001272BC">
        <w:rPr>
          <w:color w:val="auto"/>
        </w:rPr>
        <w:t xml:space="preserve">A </w:t>
      </w:r>
      <w:r w:rsidRPr="001C2DAB">
        <w:rPr>
          <w:i/>
          <w:color w:val="auto"/>
        </w:rPr>
        <w:t>q</w:t>
      </w:r>
      <w:r w:rsidRPr="001272BC">
        <w:rPr>
          <w:color w:val="auto"/>
        </w:rPr>
        <w:t xml:space="preserve"> value that is over 1 means </w:t>
      </w:r>
      <w:r w:rsidR="0067756E">
        <w:rPr>
          <w:color w:val="auto"/>
        </w:rPr>
        <w:t xml:space="preserve">that </w:t>
      </w:r>
      <w:r w:rsidRPr="001272BC">
        <w:rPr>
          <w:color w:val="auto"/>
        </w:rPr>
        <w:t xml:space="preserve">the market </w:t>
      </w:r>
      <w:r w:rsidR="0067756E">
        <w:rPr>
          <w:color w:val="auto"/>
        </w:rPr>
        <w:t>e</w:t>
      </w:r>
      <w:r w:rsidRPr="001272BC">
        <w:rPr>
          <w:color w:val="auto"/>
        </w:rPr>
        <w:t>valu</w:t>
      </w:r>
      <w:r w:rsidR="0067756E">
        <w:rPr>
          <w:color w:val="auto"/>
        </w:rPr>
        <w:t>at</w:t>
      </w:r>
      <w:r w:rsidRPr="001272BC">
        <w:rPr>
          <w:color w:val="auto"/>
        </w:rPr>
        <w:t>es the use of assets by the firm at a value higher than the intrinsic value of the assets</w:t>
      </w:r>
      <w:r w:rsidR="0067756E">
        <w:rPr>
          <w:color w:val="auto"/>
        </w:rPr>
        <w:t>,</w:t>
      </w:r>
      <w:r>
        <w:rPr>
          <w:color w:val="auto"/>
        </w:rPr>
        <w:t xml:space="preserve"> which is why s</w:t>
      </w:r>
      <w:r w:rsidRPr="001272BC">
        <w:rPr>
          <w:color w:val="auto"/>
        </w:rPr>
        <w:t xml:space="preserve">ome interpret </w:t>
      </w:r>
      <w:r w:rsidRPr="001C2DAB">
        <w:rPr>
          <w:i/>
          <w:color w:val="auto"/>
        </w:rPr>
        <w:t>q</w:t>
      </w:r>
      <w:r>
        <w:rPr>
          <w:color w:val="auto"/>
        </w:rPr>
        <w:t xml:space="preserve"> </w:t>
      </w:r>
      <w:r w:rsidRPr="001272BC">
        <w:rPr>
          <w:color w:val="auto"/>
        </w:rPr>
        <w:t>as an evaluation of the growth potential of the firm.</w:t>
      </w:r>
      <w:r w:rsidR="00516FAE">
        <w:rPr>
          <w:color w:val="auto"/>
        </w:rPr>
        <w:t xml:space="preserve"> </w:t>
      </w:r>
      <w:r w:rsidR="008A0ADE">
        <w:rPr>
          <w:color w:val="auto"/>
        </w:rPr>
        <w:t xml:space="preserve">The </w:t>
      </w:r>
      <w:r w:rsidR="00AA219B">
        <w:rPr>
          <w:color w:val="auto"/>
        </w:rPr>
        <w:t xml:space="preserve">median </w:t>
      </w:r>
      <w:r w:rsidR="008A0ADE">
        <w:rPr>
          <w:color w:val="auto"/>
        </w:rPr>
        <w:t xml:space="preserve">value of </w:t>
      </w:r>
      <w:r w:rsidR="008A0ADE" w:rsidRPr="001C5112">
        <w:rPr>
          <w:i/>
          <w:color w:val="auto"/>
        </w:rPr>
        <w:t>q</w:t>
      </w:r>
      <w:r w:rsidR="008A0ADE">
        <w:rPr>
          <w:color w:val="auto"/>
        </w:rPr>
        <w:t xml:space="preserve"> </w:t>
      </w:r>
      <w:r w:rsidR="00E77374">
        <w:rPr>
          <w:color w:val="auto"/>
        </w:rPr>
        <w:t xml:space="preserve">in </w:t>
      </w:r>
      <w:r w:rsidR="008A0ADE">
        <w:rPr>
          <w:color w:val="auto"/>
        </w:rPr>
        <w:t>our sample</w:t>
      </w:r>
      <w:r w:rsidR="00AA219B">
        <w:rPr>
          <w:color w:val="auto"/>
        </w:rPr>
        <w:t xml:space="preserve"> is </w:t>
      </w:r>
      <w:r w:rsidR="008A0ADE" w:rsidRPr="001C5112">
        <w:rPr>
          <w:color w:val="auto"/>
        </w:rPr>
        <w:t>1.</w:t>
      </w:r>
      <w:r w:rsidR="00AA219B" w:rsidRPr="001C5112">
        <w:rPr>
          <w:color w:val="auto"/>
        </w:rPr>
        <w:t>0</w:t>
      </w:r>
      <w:r w:rsidR="00E77374">
        <w:rPr>
          <w:color w:val="auto"/>
        </w:rPr>
        <w:t>4</w:t>
      </w:r>
      <w:r w:rsidR="008A0ADE">
        <w:rPr>
          <w:color w:val="auto"/>
        </w:rPr>
        <w:t xml:space="preserve">, consistent with a slight </w:t>
      </w:r>
      <w:r w:rsidR="0047159C">
        <w:rPr>
          <w:color w:val="auto"/>
        </w:rPr>
        <w:t xml:space="preserve">expected </w:t>
      </w:r>
      <w:r w:rsidR="008A0ADE">
        <w:rPr>
          <w:color w:val="auto"/>
        </w:rPr>
        <w:t>growth potential for the industry.</w:t>
      </w:r>
    </w:p>
    <w:p w:rsidR="00FE7ECB" w:rsidRPr="0068558E" w:rsidRDefault="0068558E" w:rsidP="00FE7ECB">
      <w:pPr>
        <w:pStyle w:val="Default"/>
        <w:keepNext/>
        <w:spacing w:line="480" w:lineRule="auto"/>
        <w:rPr>
          <w:color w:val="auto"/>
        </w:rPr>
      </w:pPr>
      <w:r w:rsidRPr="0068558E">
        <w:rPr>
          <w:bCs/>
          <w:color w:val="auto"/>
        </w:rPr>
        <w:t>I</w:t>
      </w:r>
      <w:r w:rsidR="00FE7ECB" w:rsidRPr="0068558E">
        <w:rPr>
          <w:bCs/>
          <w:color w:val="auto"/>
        </w:rPr>
        <w:t>I.2</w:t>
      </w:r>
      <w:r w:rsidR="005B13FB" w:rsidRPr="0068558E">
        <w:rPr>
          <w:bCs/>
          <w:color w:val="auto"/>
        </w:rPr>
        <w:t>a</w:t>
      </w:r>
      <w:r w:rsidR="00FE7ECB" w:rsidRPr="0068558E">
        <w:rPr>
          <w:bCs/>
          <w:color w:val="auto"/>
        </w:rPr>
        <w:t xml:space="preserve"> </w:t>
      </w:r>
      <w:r w:rsidR="00FE7ECB" w:rsidRPr="0068558E">
        <w:rPr>
          <w:bCs/>
          <w:smallCaps/>
          <w:color w:val="auto"/>
        </w:rPr>
        <w:t>Governance</w:t>
      </w:r>
      <w:r w:rsidR="00FE7ECB" w:rsidRPr="0068558E">
        <w:rPr>
          <w:bCs/>
          <w:color w:val="auto"/>
        </w:rPr>
        <w:t xml:space="preserve"> (Stock Ownership – D&amp;O and Family Control)</w:t>
      </w:r>
    </w:p>
    <w:p w:rsidR="005B13FB" w:rsidRPr="001272BC" w:rsidRDefault="00FE7ECB" w:rsidP="0047159C">
      <w:pPr>
        <w:pStyle w:val="Default"/>
        <w:spacing w:line="480" w:lineRule="auto"/>
        <w:ind w:firstLine="720"/>
        <w:jc w:val="both"/>
        <w:rPr>
          <w:color w:val="auto"/>
        </w:rPr>
      </w:pPr>
      <w:r>
        <w:rPr>
          <w:color w:val="auto"/>
        </w:rPr>
        <w:t xml:space="preserve">The </w:t>
      </w:r>
      <w:r w:rsidRPr="001272BC">
        <w:rPr>
          <w:color w:val="auto"/>
        </w:rPr>
        <w:t xml:space="preserve">stock variables </w:t>
      </w:r>
      <w:r>
        <w:rPr>
          <w:color w:val="auto"/>
        </w:rPr>
        <w:t>considered by</w:t>
      </w:r>
      <w:r w:rsidR="00CD4A2D">
        <w:rPr>
          <w:color w:val="auto"/>
        </w:rPr>
        <w:t xml:space="preserve"> the</w:t>
      </w:r>
      <w:r>
        <w:rPr>
          <w:color w:val="auto"/>
        </w:rPr>
        <w:t xml:space="preserve"> Larker </w:t>
      </w:r>
      <w:r w:rsidR="0067756E">
        <w:rPr>
          <w:color w:val="auto"/>
        </w:rPr>
        <w:t xml:space="preserve">study </w:t>
      </w:r>
      <w:r>
        <w:rPr>
          <w:color w:val="auto"/>
        </w:rPr>
        <w:t>include</w:t>
      </w:r>
      <w:r w:rsidRPr="001272BC">
        <w:rPr>
          <w:color w:val="auto"/>
        </w:rPr>
        <w:t xml:space="preserve"> the</w:t>
      </w:r>
      <w:r w:rsidR="006D2EF1">
        <w:rPr>
          <w:color w:val="auto"/>
        </w:rPr>
        <w:t xml:space="preserve"> firm</w:t>
      </w:r>
      <w:r w:rsidRPr="001272BC">
        <w:rPr>
          <w:color w:val="auto"/>
        </w:rPr>
        <w:t xml:space="preserve"> percentage owned by the affiliated</w:t>
      </w:r>
      <w:r>
        <w:rPr>
          <w:color w:val="auto"/>
        </w:rPr>
        <w:t xml:space="preserve"> management</w:t>
      </w:r>
      <w:r w:rsidRPr="001272BC">
        <w:rPr>
          <w:color w:val="auto"/>
        </w:rPr>
        <w:t xml:space="preserve"> (Directors and Officers)</w:t>
      </w:r>
      <w:r>
        <w:rPr>
          <w:color w:val="auto"/>
        </w:rPr>
        <w:t xml:space="preserve"> but we extend the consideration to family control</w:t>
      </w:r>
      <w:r w:rsidR="0047159C">
        <w:rPr>
          <w:color w:val="auto"/>
        </w:rPr>
        <w:t xml:space="preserve"> relying on data from the SEC form DEF 14a</w:t>
      </w:r>
      <w:r w:rsidRPr="001272BC">
        <w:rPr>
          <w:color w:val="auto"/>
        </w:rPr>
        <w:t xml:space="preserve">. </w:t>
      </w:r>
      <w:r w:rsidR="0047159C">
        <w:rPr>
          <w:color w:val="auto"/>
        </w:rPr>
        <w:t xml:space="preserve">We compute </w:t>
      </w:r>
      <w:r w:rsidR="005B13FB" w:rsidRPr="001272BC">
        <w:rPr>
          <w:i/>
          <w:color w:val="auto"/>
        </w:rPr>
        <w:t>D&amp;O</w:t>
      </w:r>
      <w:r w:rsidR="006D2EF1">
        <w:rPr>
          <w:i/>
          <w:color w:val="auto"/>
        </w:rPr>
        <w:t xml:space="preserve"> Pct</w:t>
      </w:r>
      <w:r w:rsidR="005B13FB" w:rsidRPr="001272BC">
        <w:rPr>
          <w:color w:val="auto"/>
        </w:rPr>
        <w:t xml:space="preserve"> </w:t>
      </w:r>
      <w:r w:rsidR="0047159C">
        <w:rPr>
          <w:color w:val="auto"/>
        </w:rPr>
        <w:t>a</w:t>
      </w:r>
      <w:r w:rsidR="005B13FB" w:rsidRPr="001272BC">
        <w:rPr>
          <w:color w:val="auto"/>
        </w:rPr>
        <w:t>s the sum of ownership by the directors and officers</w:t>
      </w:r>
      <w:r w:rsidR="0047159C">
        <w:rPr>
          <w:color w:val="auto"/>
        </w:rPr>
        <w:t xml:space="preserve"> excluding, if relevant, the family controlled ownership</w:t>
      </w:r>
      <w:r w:rsidR="005B13FB" w:rsidRPr="001272BC">
        <w:rPr>
          <w:color w:val="auto"/>
        </w:rPr>
        <w:t xml:space="preserve">. </w:t>
      </w:r>
      <w:r w:rsidR="005B13FB">
        <w:rPr>
          <w:color w:val="auto"/>
        </w:rPr>
        <w:t xml:space="preserve">The literature is clear on the hypothesized D&amp;O </w:t>
      </w:r>
      <w:r w:rsidR="00B54863">
        <w:rPr>
          <w:color w:val="auto"/>
        </w:rPr>
        <w:t xml:space="preserve">ownership </w:t>
      </w:r>
      <w:r w:rsidR="005B13FB">
        <w:rPr>
          <w:color w:val="auto"/>
        </w:rPr>
        <w:t xml:space="preserve">effect – </w:t>
      </w:r>
      <w:r w:rsidR="00511F62">
        <w:rPr>
          <w:color w:val="auto"/>
        </w:rPr>
        <w:t>managers expect lower firm performance and risk-taking with higher ownership</w:t>
      </w:r>
      <w:r w:rsidR="005B13FB">
        <w:rPr>
          <w:color w:val="auto"/>
        </w:rPr>
        <w:t xml:space="preserve">. </w:t>
      </w:r>
    </w:p>
    <w:p w:rsidR="00FE7ECB" w:rsidRPr="001272BC" w:rsidRDefault="00FE7ECB" w:rsidP="00FE7ECB">
      <w:pPr>
        <w:pStyle w:val="Default"/>
        <w:spacing w:line="480" w:lineRule="auto"/>
        <w:ind w:firstLine="720"/>
        <w:jc w:val="both"/>
        <w:rPr>
          <w:color w:val="auto"/>
        </w:rPr>
      </w:pPr>
      <w:r w:rsidRPr="001272BC">
        <w:rPr>
          <w:color w:val="auto"/>
        </w:rPr>
        <w:t>Identifying family control is a subjective task.</w:t>
      </w:r>
      <w:r>
        <w:rPr>
          <w:rStyle w:val="FootnoteReference"/>
          <w:color w:val="auto"/>
        </w:rPr>
        <w:footnoteReference w:id="13"/>
      </w:r>
      <w:r w:rsidRPr="001272BC">
        <w:rPr>
          <w:color w:val="auto"/>
        </w:rPr>
        <w:t xml:space="preserve"> The literature reflects this uncertainty: </w:t>
      </w:r>
      <w:proofErr w:type="spellStart"/>
      <w:r w:rsidRPr="001272BC">
        <w:rPr>
          <w:color w:val="auto"/>
        </w:rPr>
        <w:t>Yeh</w:t>
      </w:r>
      <w:proofErr w:type="spellEnd"/>
      <w:r w:rsidR="00AA64CC">
        <w:rPr>
          <w:color w:val="auto"/>
        </w:rPr>
        <w:t xml:space="preserve"> </w:t>
      </w:r>
      <w:r w:rsidR="00AA64CC" w:rsidRPr="00AA64CC">
        <w:rPr>
          <w:i/>
          <w:color w:val="auto"/>
        </w:rPr>
        <w:t>et al.</w:t>
      </w:r>
      <w:r w:rsidRPr="001272BC">
        <w:rPr>
          <w:color w:val="auto"/>
        </w:rPr>
        <w:t xml:space="preserve"> (2001) </w:t>
      </w:r>
      <w:r w:rsidR="00D27FB6">
        <w:rPr>
          <w:color w:val="auto"/>
        </w:rPr>
        <w:t>find that families only need 15 percent ownership, on average, to control the firm</w:t>
      </w:r>
      <w:r w:rsidRPr="001272BC">
        <w:rPr>
          <w:color w:val="auto"/>
        </w:rPr>
        <w:t xml:space="preserve">; Miller </w:t>
      </w:r>
      <w:r w:rsidR="00D2515D">
        <w:rPr>
          <w:color w:val="auto"/>
        </w:rPr>
        <w:t>and</w:t>
      </w:r>
      <w:r w:rsidRPr="001272BC">
        <w:rPr>
          <w:color w:val="auto"/>
        </w:rPr>
        <w:t xml:space="preserve"> Le Breton-Miller (2006) employ a 20 percent ownership rule; and </w:t>
      </w:r>
      <w:proofErr w:type="spellStart"/>
      <w:r w:rsidRPr="001272BC">
        <w:rPr>
          <w:color w:val="auto"/>
        </w:rPr>
        <w:t>Colli</w:t>
      </w:r>
      <w:proofErr w:type="spellEnd"/>
      <w:r w:rsidRPr="001272BC">
        <w:rPr>
          <w:color w:val="auto"/>
        </w:rPr>
        <w:t xml:space="preserve"> </w:t>
      </w:r>
      <w:r w:rsidR="001E163F" w:rsidRPr="001E163F">
        <w:rPr>
          <w:i/>
          <w:color w:val="auto"/>
        </w:rPr>
        <w:t>et al.</w:t>
      </w:r>
      <w:r w:rsidR="001E163F">
        <w:rPr>
          <w:color w:val="auto"/>
        </w:rPr>
        <w:t xml:space="preserve"> </w:t>
      </w:r>
      <w:r w:rsidRPr="001272BC">
        <w:rPr>
          <w:color w:val="auto"/>
        </w:rPr>
        <w:lastRenderedPageBreak/>
        <w:t xml:space="preserve">(2003) use the lowest ownership percentage, 5 percent, but require that the firm have a family member serve in firm management. </w:t>
      </w:r>
      <w:r w:rsidR="00511F62" w:rsidRPr="001272BC">
        <w:rPr>
          <w:color w:val="auto"/>
        </w:rPr>
        <w:t>We identify firms where controlling interest resides in an individual or family (characterized in the paper as “family control”).</w:t>
      </w:r>
      <w:r w:rsidR="00511F62">
        <w:rPr>
          <w:color w:val="auto"/>
        </w:rPr>
        <w:t xml:space="preserve"> </w:t>
      </w:r>
    </w:p>
    <w:p w:rsidR="00FE7ECB" w:rsidRPr="001272BC" w:rsidRDefault="00FE7ECB" w:rsidP="00FE7ECB">
      <w:pPr>
        <w:pStyle w:val="BodyText"/>
        <w:spacing w:line="480" w:lineRule="auto"/>
        <w:ind w:firstLine="720"/>
        <w:jc w:val="both"/>
      </w:pPr>
      <w:r w:rsidRPr="001272BC">
        <w:t xml:space="preserve">Whether one should differentiate between </w:t>
      </w:r>
      <w:r w:rsidR="00511F62">
        <w:t xml:space="preserve">control by a </w:t>
      </w:r>
      <w:r w:rsidRPr="001272BC">
        <w:t xml:space="preserve">family </w:t>
      </w:r>
      <w:r w:rsidR="00511F62">
        <w:t>or</w:t>
      </w:r>
      <w:r w:rsidRPr="001272BC">
        <w:t xml:space="preserve"> by an individual is a question that we do not address. Prior academic literature often requires </w:t>
      </w:r>
      <w:r>
        <w:t xml:space="preserve">the </w:t>
      </w:r>
      <w:r w:rsidRPr="001272BC">
        <w:t xml:space="preserve">involvement </w:t>
      </w:r>
      <w:r>
        <w:t xml:space="preserve">of </w:t>
      </w:r>
      <w:r w:rsidR="005B13FB">
        <w:t>at least two</w:t>
      </w:r>
      <w:r>
        <w:t xml:space="preserve"> family members</w:t>
      </w:r>
      <w:r w:rsidRPr="001272BC">
        <w:t xml:space="preserve"> to qualify as a “family firm” and some studies impose additional requirements. Examples of additional requirements include “a family member is chief executive, there are at least two generations of family control, (and) a minimum of five percent of voting stock is held by the family or trust interest associated with it”, “(an) expectation, or realization, of family succession” (</w:t>
      </w:r>
      <w:proofErr w:type="spellStart"/>
      <w:r w:rsidRPr="001272BC">
        <w:t>Colli</w:t>
      </w:r>
      <w:proofErr w:type="spellEnd"/>
      <w:r w:rsidRPr="001272BC">
        <w:t xml:space="preserve"> </w:t>
      </w:r>
      <w:r w:rsidRPr="001272BC">
        <w:rPr>
          <w:i/>
        </w:rPr>
        <w:t xml:space="preserve">et al. </w:t>
      </w:r>
      <w:r w:rsidRPr="001272BC">
        <w:t xml:space="preserve">2003, p. 30), “a family has enough ownership to determine the composition of the board, where the CEO and at least one other executive is a family member, and where the intent is to pass the firm on to the next generation” (Miller </w:t>
      </w:r>
      <w:r w:rsidR="00D2515D">
        <w:t>and</w:t>
      </w:r>
      <w:r w:rsidRPr="001272BC">
        <w:t xml:space="preserve"> </w:t>
      </w:r>
      <w:r>
        <w:t>Le Breton-Miller 2003, p. 127).</w:t>
      </w:r>
    </w:p>
    <w:p w:rsidR="00700CFE" w:rsidRDefault="00FE7ECB">
      <w:pPr>
        <w:pStyle w:val="Default"/>
        <w:spacing w:line="480" w:lineRule="auto"/>
        <w:ind w:firstLine="720"/>
        <w:jc w:val="both"/>
      </w:pPr>
      <w:proofErr w:type="spellStart"/>
      <w:r w:rsidRPr="001272BC">
        <w:t>Yeh</w:t>
      </w:r>
      <w:proofErr w:type="spellEnd"/>
      <w:r w:rsidRPr="001272BC">
        <w:t xml:space="preserve">, </w:t>
      </w:r>
      <w:r w:rsidRPr="001272BC">
        <w:rPr>
          <w:i/>
        </w:rPr>
        <w:t xml:space="preserve">et al. </w:t>
      </w:r>
      <w:r w:rsidRPr="001272BC">
        <w:t>(200</w:t>
      </w:r>
      <w:r w:rsidR="006D2EF1">
        <w:t>1</w:t>
      </w:r>
      <w:r w:rsidRPr="001272BC">
        <w:t xml:space="preserve">) estimate that the level of ownership required to attain control is fifteen percent in Taiwan; they find further that the required control level is inversely related to firm size because ownership by other shareholders is generally more widely dispersed. </w:t>
      </w:r>
      <w:proofErr w:type="spellStart"/>
      <w:r w:rsidRPr="001272BC">
        <w:t>Morck</w:t>
      </w:r>
      <w:proofErr w:type="spellEnd"/>
      <w:r w:rsidRPr="001272BC">
        <w:t xml:space="preserve"> </w:t>
      </w:r>
      <w:r w:rsidRPr="001272BC">
        <w:rPr>
          <w:i/>
        </w:rPr>
        <w:t xml:space="preserve">et al. </w:t>
      </w:r>
      <w:r w:rsidRPr="001272BC">
        <w:t>(1988) f</w:t>
      </w:r>
      <w:r w:rsidR="008E644B">
        <w:t>ind</w:t>
      </w:r>
      <w:r w:rsidRPr="001272BC">
        <w:t xml:space="preserve"> that stock m</w:t>
      </w:r>
      <w:r w:rsidRPr="004D2E84">
        <w:t xml:space="preserve">arket valuations begin to fall when a controlling ownership level exceeds thirty percent but </w:t>
      </w:r>
      <w:r w:rsidRPr="004D2E84">
        <w:rPr>
          <w:spacing w:val="2"/>
        </w:rPr>
        <w:t>l</w:t>
      </w:r>
      <w:r w:rsidRPr="004D2E84">
        <w:rPr>
          <w:spacing w:val="-1"/>
        </w:rPr>
        <w:t>a</w:t>
      </w:r>
      <w:r w:rsidRPr="004D2E84">
        <w:t>t</w:t>
      </w:r>
      <w:r w:rsidRPr="004D2E84">
        <w:rPr>
          <w:spacing w:val="-1"/>
        </w:rPr>
        <w:t>e</w:t>
      </w:r>
      <w:r w:rsidRPr="004D2E84">
        <w:t>r</w:t>
      </w:r>
      <w:r w:rsidRPr="004D2E84">
        <w:rPr>
          <w:spacing w:val="19"/>
        </w:rPr>
        <w:t xml:space="preserve"> </w:t>
      </w:r>
      <w:r w:rsidRPr="004D2E84">
        <w:rPr>
          <w:spacing w:val="-3"/>
        </w:rPr>
        <w:t>f</w:t>
      </w:r>
      <w:r w:rsidR="008E644B">
        <w:rPr>
          <w:spacing w:val="-3"/>
        </w:rPr>
        <w:t>ind</w:t>
      </w:r>
      <w:r w:rsidRPr="004D2E84">
        <w:rPr>
          <w:spacing w:val="18"/>
        </w:rPr>
        <w:t xml:space="preserve"> </w:t>
      </w:r>
      <w:r w:rsidRPr="004D2E84">
        <w:rPr>
          <w:spacing w:val="-2"/>
        </w:rPr>
        <w:t>t</w:t>
      </w:r>
      <w:r w:rsidRPr="004D2E84">
        <w:rPr>
          <w:spacing w:val="1"/>
        </w:rPr>
        <w:t>h</w:t>
      </w:r>
      <w:r w:rsidRPr="004D2E84">
        <w:rPr>
          <w:spacing w:val="-1"/>
        </w:rPr>
        <w:t>a</w:t>
      </w:r>
      <w:r w:rsidRPr="004D2E84">
        <w:t>t</w:t>
      </w:r>
      <w:r w:rsidRPr="004D2E84">
        <w:rPr>
          <w:spacing w:val="17"/>
        </w:rPr>
        <w:t xml:space="preserve"> </w:t>
      </w:r>
      <w:r w:rsidRPr="004D2E84">
        <w:rPr>
          <w:spacing w:val="-1"/>
        </w:rPr>
        <w:t>c</w:t>
      </w:r>
      <w:r w:rsidRPr="004D2E84">
        <w:rPr>
          <w:spacing w:val="1"/>
        </w:rPr>
        <w:t>on</w:t>
      </w:r>
      <w:r w:rsidRPr="004D2E84">
        <w:t>t</w:t>
      </w:r>
      <w:r w:rsidRPr="004D2E84">
        <w:rPr>
          <w:spacing w:val="-3"/>
        </w:rPr>
        <w:t>r</w:t>
      </w:r>
      <w:r w:rsidRPr="004D2E84">
        <w:rPr>
          <w:spacing w:val="1"/>
        </w:rPr>
        <w:t>o</w:t>
      </w:r>
      <w:r w:rsidRPr="004D2E84">
        <w:t>l</w:t>
      </w:r>
      <w:r w:rsidRPr="004D2E84">
        <w:rPr>
          <w:spacing w:val="17"/>
        </w:rPr>
        <w:t xml:space="preserve"> </w:t>
      </w:r>
      <w:r w:rsidRPr="004D2E84">
        <w:rPr>
          <w:spacing w:val="-1"/>
        </w:rPr>
        <w:t>ca</w:t>
      </w:r>
      <w:r w:rsidRPr="004D2E84">
        <w:t>n</w:t>
      </w:r>
      <w:r w:rsidRPr="004D2E84">
        <w:rPr>
          <w:spacing w:val="18"/>
        </w:rPr>
        <w:t xml:space="preserve"> </w:t>
      </w:r>
      <w:r w:rsidRPr="004D2E84">
        <w:rPr>
          <w:spacing w:val="1"/>
        </w:rPr>
        <w:t>b</w:t>
      </w:r>
      <w:r w:rsidRPr="004D2E84">
        <w:t>e</w:t>
      </w:r>
      <w:r w:rsidRPr="004D2E84">
        <w:rPr>
          <w:spacing w:val="16"/>
        </w:rPr>
        <w:t xml:space="preserve"> </w:t>
      </w:r>
      <w:r w:rsidRPr="004D2E84">
        <w:rPr>
          <w:spacing w:val="-1"/>
        </w:rPr>
        <w:t>ac</w:t>
      </w:r>
      <w:r w:rsidRPr="004D2E84">
        <w:rPr>
          <w:spacing w:val="1"/>
        </w:rPr>
        <w:t>h</w:t>
      </w:r>
      <w:r w:rsidRPr="004D2E84">
        <w:t>i</w:t>
      </w:r>
      <w:r w:rsidRPr="004D2E84">
        <w:rPr>
          <w:spacing w:val="-1"/>
        </w:rPr>
        <w:t>e</w:t>
      </w:r>
      <w:r w:rsidRPr="004D2E84">
        <w:rPr>
          <w:spacing w:val="-2"/>
        </w:rPr>
        <w:t>v</w:t>
      </w:r>
      <w:r w:rsidRPr="004D2E84">
        <w:rPr>
          <w:spacing w:val="-1"/>
        </w:rPr>
        <w:t>e</w:t>
      </w:r>
      <w:r w:rsidRPr="004D2E84">
        <w:t>d</w:t>
      </w:r>
      <w:r w:rsidRPr="004D2E84">
        <w:rPr>
          <w:spacing w:val="18"/>
        </w:rPr>
        <w:t xml:space="preserve"> </w:t>
      </w:r>
      <w:r w:rsidRPr="004D2E84">
        <w:rPr>
          <w:spacing w:val="-3"/>
        </w:rPr>
        <w:t>w</w:t>
      </w:r>
      <w:r w:rsidRPr="004D2E84">
        <w:t>ith</w:t>
      </w:r>
      <w:r w:rsidRPr="004D2E84">
        <w:rPr>
          <w:spacing w:val="21"/>
        </w:rPr>
        <w:t xml:space="preserve"> </w:t>
      </w:r>
      <w:r w:rsidRPr="004D2E84">
        <w:rPr>
          <w:spacing w:val="-4"/>
        </w:rPr>
        <w:t>m</w:t>
      </w:r>
      <w:r w:rsidRPr="004D2E84">
        <w:rPr>
          <w:spacing w:val="1"/>
        </w:rPr>
        <w:t>u</w:t>
      </w:r>
      <w:r w:rsidRPr="004D2E84">
        <w:rPr>
          <w:spacing w:val="-1"/>
        </w:rPr>
        <w:t>c</w:t>
      </w:r>
      <w:r w:rsidRPr="004D2E84">
        <w:t>h</w:t>
      </w:r>
      <w:r w:rsidRPr="004D2E84">
        <w:rPr>
          <w:spacing w:val="18"/>
        </w:rPr>
        <w:t xml:space="preserve"> </w:t>
      </w:r>
      <w:r w:rsidRPr="004D2E84">
        <w:t>l</w:t>
      </w:r>
      <w:r w:rsidRPr="004D2E84">
        <w:rPr>
          <w:spacing w:val="1"/>
        </w:rPr>
        <w:t>o</w:t>
      </w:r>
      <w:r w:rsidRPr="004D2E84">
        <w:rPr>
          <w:spacing w:val="-3"/>
        </w:rPr>
        <w:t>w</w:t>
      </w:r>
      <w:r w:rsidRPr="004D2E84">
        <w:rPr>
          <w:spacing w:val="-1"/>
        </w:rPr>
        <w:t>e</w:t>
      </w:r>
      <w:r w:rsidRPr="004D2E84">
        <w:t>r</w:t>
      </w:r>
      <w:r w:rsidRPr="004D2E84">
        <w:rPr>
          <w:spacing w:val="22"/>
        </w:rPr>
        <w:t xml:space="preserve"> </w:t>
      </w:r>
      <w:r w:rsidRPr="004D2E84">
        <w:rPr>
          <w:spacing w:val="1"/>
        </w:rPr>
        <w:t>o</w:t>
      </w:r>
      <w:r w:rsidRPr="004D2E84">
        <w:rPr>
          <w:spacing w:val="-3"/>
        </w:rPr>
        <w:t>w</w:t>
      </w:r>
      <w:r w:rsidRPr="004D2E84">
        <w:rPr>
          <w:spacing w:val="1"/>
        </w:rPr>
        <w:t>n</w:t>
      </w:r>
      <w:r w:rsidRPr="004D2E84">
        <w:rPr>
          <w:spacing w:val="-1"/>
        </w:rPr>
        <w:t>e</w:t>
      </w:r>
      <w:r w:rsidRPr="004D2E84">
        <w:t>r</w:t>
      </w:r>
      <w:r w:rsidRPr="004D2E84">
        <w:rPr>
          <w:spacing w:val="-1"/>
        </w:rPr>
        <w:t>s</w:t>
      </w:r>
      <w:r w:rsidRPr="004D2E84">
        <w:rPr>
          <w:spacing w:val="1"/>
        </w:rPr>
        <w:t>h</w:t>
      </w:r>
      <w:r w:rsidRPr="004D2E84">
        <w:t>ip</w:t>
      </w:r>
      <w:r w:rsidRPr="004D2E84">
        <w:rPr>
          <w:spacing w:val="18"/>
        </w:rPr>
        <w:t xml:space="preserve"> </w:t>
      </w:r>
      <w:r w:rsidRPr="004D2E84">
        <w:rPr>
          <w:spacing w:val="1"/>
        </w:rPr>
        <w:t>p</w:t>
      </w:r>
      <w:r w:rsidRPr="004D2E84">
        <w:rPr>
          <w:spacing w:val="-1"/>
        </w:rPr>
        <w:t>e</w:t>
      </w:r>
      <w:r w:rsidRPr="004D2E84">
        <w:t>r</w:t>
      </w:r>
      <w:r w:rsidRPr="004D2E84">
        <w:rPr>
          <w:spacing w:val="-1"/>
        </w:rPr>
        <w:t>ce</w:t>
      </w:r>
      <w:r w:rsidRPr="004D2E84">
        <w:rPr>
          <w:spacing w:val="1"/>
        </w:rPr>
        <w:t>n</w:t>
      </w:r>
      <w:r w:rsidRPr="004D2E84">
        <w:t>t</w:t>
      </w:r>
      <w:r w:rsidRPr="004D2E84">
        <w:rPr>
          <w:spacing w:val="-1"/>
        </w:rPr>
        <w:t>a</w:t>
      </w:r>
      <w:r w:rsidRPr="004D2E84">
        <w:rPr>
          <w:spacing w:val="-2"/>
        </w:rPr>
        <w:t>g</w:t>
      </w:r>
      <w:r w:rsidRPr="004D2E84">
        <w:rPr>
          <w:spacing w:val="-1"/>
        </w:rPr>
        <w:t>e</w:t>
      </w:r>
      <w:r w:rsidRPr="004D2E84">
        <w:t>s</w:t>
      </w:r>
      <w:r w:rsidRPr="004D2E84">
        <w:rPr>
          <w:spacing w:val="17"/>
        </w:rPr>
        <w:t xml:space="preserve"> </w:t>
      </w:r>
      <w:r w:rsidRPr="004D2E84">
        <w:t>t</w:t>
      </w:r>
      <w:r w:rsidRPr="004D2E84">
        <w:rPr>
          <w:spacing w:val="1"/>
        </w:rPr>
        <w:t>h</w:t>
      </w:r>
      <w:r w:rsidRPr="004D2E84">
        <w:t>r</w:t>
      </w:r>
      <w:r w:rsidRPr="004D2E84">
        <w:rPr>
          <w:spacing w:val="1"/>
        </w:rPr>
        <w:t>ou</w:t>
      </w:r>
      <w:r w:rsidRPr="004D2E84">
        <w:rPr>
          <w:spacing w:val="-2"/>
        </w:rPr>
        <w:t>g</w:t>
      </w:r>
      <w:r w:rsidRPr="004D2E84">
        <w:t>h</w:t>
      </w:r>
      <w:r w:rsidRPr="004D2E84">
        <w:rPr>
          <w:spacing w:val="18"/>
        </w:rPr>
        <w:t xml:space="preserve"> </w:t>
      </w:r>
      <w:r w:rsidRPr="004D2E84">
        <w:rPr>
          <w:spacing w:val="-2"/>
        </w:rPr>
        <w:t>t</w:t>
      </w:r>
      <w:r w:rsidRPr="004D2E84">
        <w:rPr>
          <w:spacing w:val="1"/>
        </w:rPr>
        <w:t>h</w:t>
      </w:r>
      <w:r w:rsidRPr="004D2E84">
        <w:t>e</w:t>
      </w:r>
      <w:r w:rsidRPr="004D2E84">
        <w:rPr>
          <w:spacing w:val="16"/>
        </w:rPr>
        <w:t xml:space="preserve"> </w:t>
      </w:r>
      <w:r w:rsidRPr="004D2E84">
        <w:rPr>
          <w:spacing w:val="1"/>
        </w:rPr>
        <w:t>u</w:t>
      </w:r>
      <w:r w:rsidRPr="004D2E84">
        <w:rPr>
          <w:spacing w:val="-1"/>
        </w:rPr>
        <w:t>s</w:t>
      </w:r>
      <w:r w:rsidRPr="004D2E84">
        <w:t>e</w:t>
      </w:r>
      <w:r w:rsidRPr="004D2E84">
        <w:rPr>
          <w:spacing w:val="16"/>
        </w:rPr>
        <w:t xml:space="preserve"> </w:t>
      </w:r>
      <w:r w:rsidRPr="004D2E84">
        <w:rPr>
          <w:spacing w:val="1"/>
        </w:rPr>
        <w:t>o</w:t>
      </w:r>
      <w:r w:rsidRPr="004D2E84">
        <w:t>f</w:t>
      </w:r>
      <w:r w:rsidRPr="004D2E84">
        <w:rPr>
          <w:spacing w:val="15"/>
        </w:rPr>
        <w:t xml:space="preserve"> </w:t>
      </w:r>
      <w:r w:rsidRPr="004D2E84">
        <w:rPr>
          <w:spacing w:val="1"/>
        </w:rPr>
        <w:t>d</w:t>
      </w:r>
      <w:r w:rsidRPr="004D2E84">
        <w:t>if</w:t>
      </w:r>
      <w:r w:rsidRPr="004D2E84">
        <w:rPr>
          <w:spacing w:val="-3"/>
        </w:rPr>
        <w:t>f</w:t>
      </w:r>
      <w:r w:rsidRPr="004D2E84">
        <w:rPr>
          <w:spacing w:val="-1"/>
        </w:rPr>
        <w:t>e</w:t>
      </w:r>
      <w:r w:rsidRPr="004D2E84">
        <w:rPr>
          <w:spacing w:val="2"/>
        </w:rPr>
        <w:t>r</w:t>
      </w:r>
      <w:r w:rsidRPr="004D2E84">
        <w:rPr>
          <w:spacing w:val="-1"/>
        </w:rPr>
        <w:t>e</w:t>
      </w:r>
      <w:r w:rsidRPr="004D2E84">
        <w:rPr>
          <w:spacing w:val="1"/>
        </w:rPr>
        <w:t>n</w:t>
      </w:r>
      <w:r w:rsidRPr="004D2E84">
        <w:t>ti</w:t>
      </w:r>
      <w:r w:rsidRPr="004D2E84">
        <w:rPr>
          <w:spacing w:val="-1"/>
        </w:rPr>
        <w:t>a</w:t>
      </w:r>
      <w:r w:rsidRPr="004D2E84">
        <w:t>l</w:t>
      </w:r>
      <w:r w:rsidRPr="004D2E84">
        <w:rPr>
          <w:spacing w:val="17"/>
        </w:rPr>
        <w:t xml:space="preserve"> </w:t>
      </w:r>
      <w:r w:rsidRPr="004D2E84">
        <w:rPr>
          <w:spacing w:val="-2"/>
        </w:rPr>
        <w:t>v</w:t>
      </w:r>
      <w:r w:rsidRPr="004D2E84">
        <w:rPr>
          <w:spacing w:val="1"/>
        </w:rPr>
        <w:t>o</w:t>
      </w:r>
      <w:r w:rsidRPr="004D2E84">
        <w:t>ti</w:t>
      </w:r>
      <w:r w:rsidRPr="004D2E84">
        <w:rPr>
          <w:spacing w:val="1"/>
        </w:rPr>
        <w:t xml:space="preserve">ng </w:t>
      </w:r>
      <w:r w:rsidRPr="004D2E84">
        <w:rPr>
          <w:spacing w:val="-1"/>
        </w:rPr>
        <w:t>c</w:t>
      </w:r>
      <w:r w:rsidRPr="004D2E84">
        <w:t>l</w:t>
      </w:r>
      <w:r w:rsidRPr="004D2E84">
        <w:rPr>
          <w:spacing w:val="-1"/>
        </w:rPr>
        <w:t>asse</w:t>
      </w:r>
      <w:r w:rsidRPr="004D2E84">
        <w:t>s</w:t>
      </w:r>
      <w:r w:rsidRPr="004D2E84">
        <w:rPr>
          <w:spacing w:val="41"/>
        </w:rPr>
        <w:t xml:space="preserve"> </w:t>
      </w:r>
      <w:r w:rsidRPr="004D2E84">
        <w:rPr>
          <w:spacing w:val="3"/>
        </w:rPr>
        <w:t>o</w:t>
      </w:r>
      <w:r w:rsidRPr="004D2E84">
        <w:t>f</w:t>
      </w:r>
      <w:r w:rsidRPr="004D2E84">
        <w:rPr>
          <w:spacing w:val="39"/>
        </w:rPr>
        <w:t xml:space="preserve"> </w:t>
      </w:r>
      <w:r w:rsidRPr="004D2E84">
        <w:rPr>
          <w:spacing w:val="-1"/>
        </w:rPr>
        <w:t>s</w:t>
      </w:r>
      <w:r w:rsidRPr="004D2E84">
        <w:t>t</w:t>
      </w:r>
      <w:r w:rsidRPr="004D2E84">
        <w:rPr>
          <w:spacing w:val="1"/>
        </w:rPr>
        <w:t>o</w:t>
      </w:r>
      <w:r w:rsidRPr="004D2E84">
        <w:rPr>
          <w:spacing w:val="-1"/>
        </w:rPr>
        <w:t>c</w:t>
      </w:r>
      <w:r w:rsidRPr="004D2E84">
        <w:t>k</w:t>
      </w:r>
      <w:r w:rsidRPr="004D2E84">
        <w:rPr>
          <w:spacing w:val="40"/>
        </w:rPr>
        <w:t xml:space="preserve"> </w:t>
      </w:r>
      <w:r w:rsidRPr="004D2E84">
        <w:rPr>
          <w:spacing w:val="-1"/>
        </w:rPr>
        <w:t>a</w:t>
      </w:r>
      <w:r w:rsidRPr="004D2E84">
        <w:rPr>
          <w:spacing w:val="1"/>
        </w:rPr>
        <w:t>n</w:t>
      </w:r>
      <w:r w:rsidRPr="004D2E84">
        <w:t>d</w:t>
      </w:r>
      <w:r w:rsidRPr="004D2E84">
        <w:rPr>
          <w:spacing w:val="42"/>
        </w:rPr>
        <w:t xml:space="preserve"> </w:t>
      </w:r>
      <w:r w:rsidRPr="004D2E84">
        <w:rPr>
          <w:spacing w:val="1"/>
        </w:rPr>
        <w:t>o</w:t>
      </w:r>
      <w:r w:rsidRPr="004D2E84">
        <w:t>t</w:t>
      </w:r>
      <w:r w:rsidRPr="004D2E84">
        <w:rPr>
          <w:spacing w:val="1"/>
        </w:rPr>
        <w:t>h</w:t>
      </w:r>
      <w:r w:rsidRPr="004D2E84">
        <w:rPr>
          <w:spacing w:val="-1"/>
        </w:rPr>
        <w:t>e</w:t>
      </w:r>
      <w:r w:rsidRPr="004D2E84">
        <w:t>r</w:t>
      </w:r>
      <w:r w:rsidRPr="004D2E84">
        <w:rPr>
          <w:spacing w:val="39"/>
        </w:rPr>
        <w:t xml:space="preserve"> </w:t>
      </w:r>
      <w:r w:rsidRPr="004D2E84">
        <w:t>t</w:t>
      </w:r>
      <w:r w:rsidRPr="004D2E84">
        <w:rPr>
          <w:spacing w:val="-1"/>
        </w:rPr>
        <w:t>ec</w:t>
      </w:r>
      <w:r w:rsidRPr="004D2E84">
        <w:rPr>
          <w:spacing w:val="1"/>
        </w:rPr>
        <w:t>hn</w:t>
      </w:r>
      <w:r w:rsidRPr="004D2E84">
        <w:t>i</w:t>
      </w:r>
      <w:r w:rsidRPr="004D2E84">
        <w:rPr>
          <w:spacing w:val="-2"/>
        </w:rPr>
        <w:t>q</w:t>
      </w:r>
      <w:r w:rsidRPr="004D2E84">
        <w:rPr>
          <w:spacing w:val="1"/>
        </w:rPr>
        <w:t>u</w:t>
      </w:r>
      <w:r w:rsidRPr="004D2E84">
        <w:rPr>
          <w:spacing w:val="-1"/>
        </w:rPr>
        <w:t>e</w:t>
      </w:r>
      <w:r w:rsidRPr="004D2E84">
        <w:t>s</w:t>
      </w:r>
      <w:r w:rsidRPr="004D2E84">
        <w:rPr>
          <w:spacing w:val="40"/>
        </w:rPr>
        <w:t xml:space="preserve"> </w:t>
      </w:r>
      <w:r w:rsidRPr="004D2E84">
        <w:t>(</w:t>
      </w:r>
      <w:proofErr w:type="spellStart"/>
      <w:r w:rsidRPr="004D2E84">
        <w:t>M</w:t>
      </w:r>
      <w:r w:rsidRPr="004D2E84">
        <w:rPr>
          <w:spacing w:val="1"/>
        </w:rPr>
        <w:t>o</w:t>
      </w:r>
      <w:r w:rsidRPr="004D2E84">
        <w:t>r</w:t>
      </w:r>
      <w:r w:rsidRPr="004D2E84">
        <w:rPr>
          <w:spacing w:val="-1"/>
        </w:rPr>
        <w:t>c</w:t>
      </w:r>
      <w:r w:rsidRPr="004D2E84">
        <w:t>k</w:t>
      </w:r>
      <w:proofErr w:type="spellEnd"/>
      <w:r w:rsidRPr="004D2E84">
        <w:rPr>
          <w:spacing w:val="40"/>
        </w:rPr>
        <w:t xml:space="preserve"> </w:t>
      </w:r>
      <w:r w:rsidR="00D2515D">
        <w:t>and</w:t>
      </w:r>
      <w:r w:rsidRPr="004D2E84">
        <w:rPr>
          <w:spacing w:val="40"/>
        </w:rPr>
        <w:t xml:space="preserve"> </w:t>
      </w:r>
      <w:proofErr w:type="spellStart"/>
      <w:r w:rsidRPr="004D2E84">
        <w:rPr>
          <w:spacing w:val="-1"/>
        </w:rPr>
        <w:t>Ye</w:t>
      </w:r>
      <w:r w:rsidRPr="004D2E84">
        <w:rPr>
          <w:spacing w:val="1"/>
        </w:rPr>
        <w:t>un</w:t>
      </w:r>
      <w:r w:rsidRPr="004D2E84">
        <w:t>g</w:t>
      </w:r>
      <w:proofErr w:type="spellEnd"/>
      <w:r w:rsidRPr="004D2E84">
        <w:rPr>
          <w:spacing w:val="40"/>
        </w:rPr>
        <w:t xml:space="preserve"> </w:t>
      </w:r>
      <w:r w:rsidRPr="004D2E84">
        <w:rPr>
          <w:spacing w:val="-2"/>
        </w:rPr>
        <w:t>2</w:t>
      </w:r>
      <w:r w:rsidRPr="004D2E84">
        <w:rPr>
          <w:spacing w:val="1"/>
        </w:rPr>
        <w:t>0</w:t>
      </w:r>
      <w:r w:rsidRPr="004D2E84">
        <w:rPr>
          <w:spacing w:val="-2"/>
        </w:rPr>
        <w:t>0</w:t>
      </w:r>
      <w:r w:rsidRPr="004D2E84">
        <w:rPr>
          <w:spacing w:val="1"/>
        </w:rPr>
        <w:t>3</w:t>
      </w:r>
      <w:r w:rsidRPr="004D2E84">
        <w:t>).</w:t>
      </w:r>
      <w:r w:rsidRPr="004D2E84">
        <w:rPr>
          <w:spacing w:val="39"/>
        </w:rPr>
        <w:t xml:space="preserve"> </w:t>
      </w:r>
      <w:r w:rsidRPr="004D2E84">
        <w:rPr>
          <w:spacing w:val="-2"/>
        </w:rPr>
        <w:t>T</w:t>
      </w:r>
      <w:r w:rsidRPr="004D2E84">
        <w:rPr>
          <w:spacing w:val="1"/>
        </w:rPr>
        <w:t>h</w:t>
      </w:r>
      <w:r w:rsidRPr="004D2E84">
        <w:t>e</w:t>
      </w:r>
      <w:r w:rsidRPr="004D2E84">
        <w:rPr>
          <w:spacing w:val="19"/>
        </w:rPr>
        <w:t xml:space="preserve"> </w:t>
      </w:r>
      <w:r w:rsidRPr="004D2E84">
        <w:t>l</w:t>
      </w:r>
      <w:r w:rsidRPr="004D2E84">
        <w:rPr>
          <w:spacing w:val="-1"/>
        </w:rPr>
        <w:t>ac</w:t>
      </w:r>
      <w:r w:rsidRPr="004D2E84">
        <w:t>k</w:t>
      </w:r>
      <w:r w:rsidRPr="004D2E84">
        <w:rPr>
          <w:spacing w:val="18"/>
        </w:rPr>
        <w:t xml:space="preserve"> </w:t>
      </w:r>
      <w:r w:rsidRPr="004D2E84">
        <w:rPr>
          <w:spacing w:val="1"/>
        </w:rPr>
        <w:t>o</w:t>
      </w:r>
      <w:r w:rsidRPr="004D2E84">
        <w:t>f</w:t>
      </w:r>
      <w:r w:rsidRPr="004D2E84">
        <w:rPr>
          <w:spacing w:val="19"/>
        </w:rPr>
        <w:t xml:space="preserve"> </w:t>
      </w:r>
      <w:r w:rsidRPr="004D2E84">
        <w:rPr>
          <w:spacing w:val="-2"/>
        </w:rPr>
        <w:t>v</w:t>
      </w:r>
      <w:r w:rsidRPr="004D2E84">
        <w:rPr>
          <w:spacing w:val="1"/>
        </w:rPr>
        <w:t>o</w:t>
      </w:r>
      <w:r w:rsidRPr="004D2E84">
        <w:t>ti</w:t>
      </w:r>
      <w:r w:rsidRPr="004D2E84">
        <w:rPr>
          <w:spacing w:val="1"/>
        </w:rPr>
        <w:t>n</w:t>
      </w:r>
      <w:r w:rsidRPr="004D2E84">
        <w:t>g</w:t>
      </w:r>
      <w:r w:rsidRPr="004D2E84">
        <w:rPr>
          <w:spacing w:val="18"/>
        </w:rPr>
        <w:t xml:space="preserve"> </w:t>
      </w:r>
      <w:r w:rsidRPr="004D2E84">
        <w:rPr>
          <w:spacing w:val="1"/>
        </w:rPr>
        <w:t>b</w:t>
      </w:r>
      <w:r w:rsidRPr="004D2E84">
        <w:t>y</w:t>
      </w:r>
      <w:r w:rsidRPr="004D2E84">
        <w:rPr>
          <w:spacing w:val="18"/>
        </w:rPr>
        <w:t xml:space="preserve"> </w:t>
      </w:r>
      <w:r w:rsidRPr="004D2E84">
        <w:rPr>
          <w:spacing w:val="-1"/>
        </w:rPr>
        <w:t>ma</w:t>
      </w:r>
      <w:r w:rsidRPr="004D2E84">
        <w:rPr>
          <w:spacing w:val="3"/>
        </w:rPr>
        <w:t>n</w:t>
      </w:r>
      <w:r w:rsidRPr="004D2E84">
        <w:t>y</w:t>
      </w:r>
      <w:r w:rsidRPr="004D2E84">
        <w:rPr>
          <w:spacing w:val="16"/>
        </w:rPr>
        <w:t xml:space="preserve"> </w:t>
      </w:r>
      <w:r w:rsidRPr="004D2E84">
        <w:rPr>
          <w:spacing w:val="-1"/>
        </w:rPr>
        <w:t>s</w:t>
      </w:r>
      <w:r w:rsidRPr="004D2E84">
        <w:rPr>
          <w:spacing w:val="1"/>
        </w:rPr>
        <w:t>h</w:t>
      </w:r>
      <w:r w:rsidRPr="004D2E84">
        <w:rPr>
          <w:spacing w:val="-1"/>
        </w:rPr>
        <w:t>a</w:t>
      </w:r>
      <w:r w:rsidRPr="004D2E84">
        <w:t>r</w:t>
      </w:r>
      <w:r w:rsidRPr="004D2E84">
        <w:rPr>
          <w:spacing w:val="1"/>
        </w:rPr>
        <w:t>eho</w:t>
      </w:r>
      <w:r w:rsidRPr="004D2E84">
        <w:rPr>
          <w:spacing w:val="-2"/>
        </w:rPr>
        <w:t>l</w:t>
      </w:r>
      <w:r w:rsidRPr="004D2E84">
        <w:rPr>
          <w:spacing w:val="1"/>
        </w:rPr>
        <w:t>d</w:t>
      </w:r>
      <w:r w:rsidRPr="004D2E84">
        <w:rPr>
          <w:spacing w:val="-1"/>
        </w:rPr>
        <w:t>e</w:t>
      </w:r>
      <w:r w:rsidRPr="004D2E84">
        <w:t>r</w:t>
      </w:r>
      <w:r w:rsidRPr="004D2E84">
        <w:rPr>
          <w:spacing w:val="-1"/>
        </w:rPr>
        <w:t>s</w:t>
      </w:r>
      <w:r w:rsidRPr="004D2E84">
        <w:t>,</w:t>
      </w:r>
      <w:r w:rsidRPr="004D2E84">
        <w:rPr>
          <w:spacing w:val="20"/>
        </w:rPr>
        <w:t xml:space="preserve"> </w:t>
      </w:r>
      <w:r w:rsidRPr="004D2E84">
        <w:t>t</w:t>
      </w:r>
      <w:r w:rsidRPr="004D2E84">
        <w:rPr>
          <w:spacing w:val="1"/>
        </w:rPr>
        <w:t>h</w:t>
      </w:r>
      <w:r w:rsidRPr="004D2E84">
        <w:t>e</w:t>
      </w:r>
      <w:r w:rsidRPr="004D2E84">
        <w:rPr>
          <w:spacing w:val="19"/>
        </w:rPr>
        <w:t xml:space="preserve"> </w:t>
      </w:r>
      <w:r w:rsidRPr="004D2E84">
        <w:rPr>
          <w:spacing w:val="1"/>
        </w:rPr>
        <w:t>u</w:t>
      </w:r>
      <w:r w:rsidRPr="004D2E84">
        <w:rPr>
          <w:spacing w:val="-1"/>
        </w:rPr>
        <w:t>s</w:t>
      </w:r>
      <w:r w:rsidRPr="004D2E84">
        <w:t>e</w:t>
      </w:r>
      <w:r w:rsidRPr="004D2E84">
        <w:rPr>
          <w:spacing w:val="19"/>
        </w:rPr>
        <w:t xml:space="preserve"> </w:t>
      </w:r>
      <w:r w:rsidRPr="004D2E84">
        <w:rPr>
          <w:spacing w:val="1"/>
        </w:rPr>
        <w:t>o</w:t>
      </w:r>
      <w:r w:rsidRPr="004D2E84">
        <w:t>f</w:t>
      </w:r>
      <w:r w:rsidRPr="004D2E84">
        <w:rPr>
          <w:spacing w:val="17"/>
        </w:rPr>
        <w:t xml:space="preserve"> </w:t>
      </w:r>
      <w:r w:rsidRPr="004D2E84">
        <w:rPr>
          <w:spacing w:val="1"/>
        </w:rPr>
        <w:t>p</w:t>
      </w:r>
      <w:r w:rsidRPr="004D2E84">
        <w:t>r</w:t>
      </w:r>
      <w:r w:rsidRPr="004D2E84">
        <w:rPr>
          <w:spacing w:val="1"/>
        </w:rPr>
        <w:t>o</w:t>
      </w:r>
      <w:r w:rsidRPr="004D2E84">
        <w:rPr>
          <w:spacing w:val="-2"/>
        </w:rPr>
        <w:t>x</w:t>
      </w:r>
      <w:r w:rsidRPr="004D2E84">
        <w:t>y</w:t>
      </w:r>
      <w:r w:rsidRPr="004D2E84">
        <w:rPr>
          <w:spacing w:val="16"/>
        </w:rPr>
        <w:t xml:space="preserve"> </w:t>
      </w:r>
      <w:r w:rsidRPr="004D2E84">
        <w:rPr>
          <w:spacing w:val="-2"/>
        </w:rPr>
        <w:t>v</w:t>
      </w:r>
      <w:r w:rsidRPr="004D2E84">
        <w:rPr>
          <w:spacing w:val="1"/>
        </w:rPr>
        <w:t>o</w:t>
      </w:r>
      <w:r w:rsidRPr="004D2E84">
        <w:t>ti</w:t>
      </w:r>
      <w:r w:rsidRPr="004D2E84">
        <w:rPr>
          <w:spacing w:val="1"/>
        </w:rPr>
        <w:t>n</w:t>
      </w:r>
      <w:r w:rsidRPr="004D2E84">
        <w:rPr>
          <w:spacing w:val="-2"/>
        </w:rPr>
        <w:t>g</w:t>
      </w:r>
      <w:r w:rsidRPr="004D2E84">
        <w:t>,</w:t>
      </w:r>
      <w:r w:rsidRPr="004D2E84">
        <w:rPr>
          <w:spacing w:val="20"/>
        </w:rPr>
        <w:t xml:space="preserve"> </w:t>
      </w:r>
      <w:r w:rsidRPr="004D2E84">
        <w:rPr>
          <w:spacing w:val="-1"/>
        </w:rPr>
        <w:t>a</w:t>
      </w:r>
      <w:r w:rsidRPr="004D2E84">
        <w:rPr>
          <w:spacing w:val="1"/>
        </w:rPr>
        <w:t>n</w:t>
      </w:r>
      <w:r w:rsidRPr="004D2E84">
        <w:t>d</w:t>
      </w:r>
      <w:r w:rsidRPr="004D2E84">
        <w:rPr>
          <w:spacing w:val="21"/>
        </w:rPr>
        <w:t xml:space="preserve"> </w:t>
      </w:r>
      <w:r w:rsidRPr="004D2E84">
        <w:rPr>
          <w:spacing w:val="-2"/>
        </w:rPr>
        <w:t>d</w:t>
      </w:r>
      <w:r w:rsidRPr="004D2E84">
        <w:rPr>
          <w:spacing w:val="1"/>
        </w:rPr>
        <w:t>u</w:t>
      </w:r>
      <w:r w:rsidRPr="004D2E84">
        <w:rPr>
          <w:spacing w:val="-1"/>
        </w:rPr>
        <w:t>al</w:t>
      </w:r>
      <w:r w:rsidRPr="004D2E84">
        <w:t>-</w:t>
      </w:r>
      <w:r w:rsidRPr="004D2E84">
        <w:rPr>
          <w:spacing w:val="-1"/>
        </w:rPr>
        <w:t>c</w:t>
      </w:r>
      <w:r w:rsidRPr="004D2E84">
        <w:t>l</w:t>
      </w:r>
      <w:r w:rsidRPr="004D2E84">
        <w:rPr>
          <w:spacing w:val="-1"/>
        </w:rPr>
        <w:t>as</w:t>
      </w:r>
      <w:r w:rsidRPr="004D2E84">
        <w:t>s</w:t>
      </w:r>
      <w:r w:rsidRPr="004D2E84">
        <w:rPr>
          <w:spacing w:val="19"/>
        </w:rPr>
        <w:t xml:space="preserve"> </w:t>
      </w:r>
      <w:r w:rsidRPr="004D2E84">
        <w:rPr>
          <w:spacing w:val="-1"/>
        </w:rPr>
        <w:t>s</w:t>
      </w:r>
      <w:r w:rsidRPr="004D2E84">
        <w:rPr>
          <w:spacing w:val="1"/>
        </w:rPr>
        <w:t>h</w:t>
      </w:r>
      <w:r w:rsidRPr="004D2E84">
        <w:rPr>
          <w:spacing w:val="-1"/>
        </w:rPr>
        <w:t>a</w:t>
      </w:r>
      <w:r w:rsidRPr="004D2E84">
        <w:t>r</w:t>
      </w:r>
      <w:r w:rsidRPr="004D2E84">
        <w:rPr>
          <w:spacing w:val="-1"/>
        </w:rPr>
        <w:t>e</w:t>
      </w:r>
      <w:r w:rsidRPr="004D2E84">
        <w:t>s</w:t>
      </w:r>
      <w:r w:rsidRPr="004D2E84">
        <w:rPr>
          <w:spacing w:val="19"/>
        </w:rPr>
        <w:t xml:space="preserve"> </w:t>
      </w:r>
      <w:r w:rsidRPr="004D2E84">
        <w:rPr>
          <w:spacing w:val="1"/>
        </w:rPr>
        <w:t>o</w:t>
      </w:r>
      <w:r w:rsidRPr="004D2E84">
        <w:rPr>
          <w:spacing w:val="-3"/>
        </w:rPr>
        <w:t>f</w:t>
      </w:r>
      <w:r w:rsidRPr="004D2E84">
        <w:t>t</w:t>
      </w:r>
      <w:r w:rsidRPr="004D2E84">
        <w:rPr>
          <w:spacing w:val="-1"/>
        </w:rPr>
        <w:t xml:space="preserve">en </w:t>
      </w:r>
      <w:r w:rsidRPr="004D2E84">
        <w:rPr>
          <w:spacing w:val="-2"/>
        </w:rPr>
        <w:t>g</w:t>
      </w:r>
      <w:r w:rsidRPr="004D2E84">
        <w:t>r</w:t>
      </w:r>
      <w:r w:rsidRPr="004D2E84">
        <w:rPr>
          <w:spacing w:val="-1"/>
        </w:rPr>
        <w:t>a</w:t>
      </w:r>
      <w:r w:rsidRPr="004D2E84">
        <w:rPr>
          <w:spacing w:val="1"/>
        </w:rPr>
        <w:t>n</w:t>
      </w:r>
      <w:r w:rsidRPr="004D2E84">
        <w:t>t</w:t>
      </w:r>
      <w:r w:rsidRPr="004D2E84">
        <w:rPr>
          <w:spacing w:val="17"/>
        </w:rPr>
        <w:t xml:space="preserve"> </w:t>
      </w:r>
      <w:r w:rsidRPr="004D2E84">
        <w:rPr>
          <w:spacing w:val="1"/>
        </w:rPr>
        <w:t>e</w:t>
      </w:r>
      <w:r w:rsidRPr="004D2E84">
        <w:rPr>
          <w:spacing w:val="-3"/>
        </w:rPr>
        <w:t>f</w:t>
      </w:r>
      <w:r w:rsidRPr="004D2E84">
        <w:t>f</w:t>
      </w:r>
      <w:r w:rsidRPr="004D2E84">
        <w:rPr>
          <w:spacing w:val="-1"/>
        </w:rPr>
        <w:t>ec</w:t>
      </w:r>
      <w:r w:rsidRPr="004D2E84">
        <w:t>ti</w:t>
      </w:r>
      <w:r w:rsidRPr="004D2E84">
        <w:rPr>
          <w:spacing w:val="1"/>
        </w:rPr>
        <w:t>v</w:t>
      </w:r>
      <w:r w:rsidRPr="004D2E84">
        <w:t>e</w:t>
      </w:r>
      <w:r w:rsidRPr="004D2E84">
        <w:rPr>
          <w:spacing w:val="16"/>
        </w:rPr>
        <w:t xml:space="preserve"> </w:t>
      </w:r>
      <w:r w:rsidRPr="004D2E84">
        <w:rPr>
          <w:spacing w:val="-1"/>
        </w:rPr>
        <w:t>c</w:t>
      </w:r>
      <w:r w:rsidRPr="004D2E84">
        <w:rPr>
          <w:spacing w:val="1"/>
        </w:rPr>
        <w:t>on</w:t>
      </w:r>
      <w:r w:rsidRPr="004D2E84">
        <w:t>tr</w:t>
      </w:r>
      <w:r w:rsidRPr="004D2E84">
        <w:rPr>
          <w:spacing w:val="1"/>
        </w:rPr>
        <w:t>o</w:t>
      </w:r>
      <w:r w:rsidRPr="004D2E84">
        <w:t>l</w:t>
      </w:r>
      <w:r w:rsidRPr="004D2E84">
        <w:rPr>
          <w:spacing w:val="17"/>
        </w:rPr>
        <w:t xml:space="preserve"> </w:t>
      </w:r>
      <w:r w:rsidRPr="004D2E84">
        <w:rPr>
          <w:spacing w:val="-3"/>
        </w:rPr>
        <w:t>w</w:t>
      </w:r>
      <w:r w:rsidRPr="004D2E84">
        <w:t>ith</w:t>
      </w:r>
      <w:r w:rsidRPr="004D2E84">
        <w:rPr>
          <w:spacing w:val="18"/>
        </w:rPr>
        <w:t xml:space="preserve"> </w:t>
      </w:r>
      <w:r w:rsidRPr="004D2E84">
        <w:t>l</w:t>
      </w:r>
      <w:r w:rsidRPr="004D2E84">
        <w:rPr>
          <w:spacing w:val="1"/>
        </w:rPr>
        <w:t>o</w:t>
      </w:r>
      <w:r w:rsidRPr="004D2E84">
        <w:rPr>
          <w:spacing w:val="-3"/>
        </w:rPr>
        <w:t>w</w:t>
      </w:r>
      <w:r w:rsidRPr="004D2E84">
        <w:rPr>
          <w:spacing w:val="1"/>
        </w:rPr>
        <w:t>e</w:t>
      </w:r>
      <w:r w:rsidRPr="004D2E84">
        <w:t>r</w:t>
      </w:r>
      <w:r w:rsidRPr="004D2E84">
        <w:rPr>
          <w:spacing w:val="17"/>
        </w:rPr>
        <w:t xml:space="preserve"> </w:t>
      </w:r>
      <w:r w:rsidRPr="004D2E84">
        <w:rPr>
          <w:spacing w:val="1"/>
        </w:rPr>
        <w:t>o</w:t>
      </w:r>
      <w:r w:rsidRPr="004D2E84">
        <w:rPr>
          <w:spacing w:val="-3"/>
        </w:rPr>
        <w:t>w</w:t>
      </w:r>
      <w:r w:rsidRPr="004D2E84">
        <w:rPr>
          <w:spacing w:val="1"/>
        </w:rPr>
        <w:t>n</w:t>
      </w:r>
      <w:r w:rsidRPr="004D2E84">
        <w:rPr>
          <w:spacing w:val="-1"/>
        </w:rPr>
        <w:t>e</w:t>
      </w:r>
      <w:r w:rsidRPr="004D2E84">
        <w:t>r</w:t>
      </w:r>
      <w:r w:rsidRPr="004D2E84">
        <w:rPr>
          <w:spacing w:val="-1"/>
        </w:rPr>
        <w:t>s</w:t>
      </w:r>
      <w:r w:rsidRPr="004D2E84">
        <w:rPr>
          <w:spacing w:val="1"/>
        </w:rPr>
        <w:t>h</w:t>
      </w:r>
      <w:r w:rsidRPr="004D2E84">
        <w:t>ip</w:t>
      </w:r>
      <w:r w:rsidRPr="004D2E84">
        <w:rPr>
          <w:spacing w:val="18"/>
        </w:rPr>
        <w:t xml:space="preserve"> </w:t>
      </w:r>
      <w:r w:rsidRPr="004D2E84">
        <w:rPr>
          <w:spacing w:val="1"/>
        </w:rPr>
        <w:t>p</w:t>
      </w:r>
      <w:r w:rsidRPr="004D2E84">
        <w:rPr>
          <w:spacing w:val="-1"/>
        </w:rPr>
        <w:t>e</w:t>
      </w:r>
      <w:r w:rsidRPr="004D2E84">
        <w:t>r</w:t>
      </w:r>
      <w:r w:rsidRPr="004D2E84">
        <w:rPr>
          <w:spacing w:val="-1"/>
        </w:rPr>
        <w:t>ce</w:t>
      </w:r>
      <w:r w:rsidRPr="004D2E84">
        <w:rPr>
          <w:spacing w:val="1"/>
        </w:rPr>
        <w:t>n</w:t>
      </w:r>
      <w:r w:rsidRPr="004D2E84">
        <w:t>t</w:t>
      </w:r>
      <w:r w:rsidRPr="004D2E84">
        <w:rPr>
          <w:spacing w:val="-1"/>
        </w:rPr>
        <w:t>a</w:t>
      </w:r>
      <w:r w:rsidRPr="004D2E84">
        <w:rPr>
          <w:spacing w:val="-2"/>
        </w:rPr>
        <w:t>g</w:t>
      </w:r>
      <w:r w:rsidRPr="004D2E84">
        <w:rPr>
          <w:spacing w:val="-1"/>
        </w:rPr>
        <w:t>es</w:t>
      </w:r>
      <w:r w:rsidRPr="004D2E84">
        <w:t>.</w:t>
      </w:r>
      <w:r w:rsidRPr="004D2E84">
        <w:rPr>
          <w:rStyle w:val="FootnoteReference"/>
        </w:rPr>
        <w:footnoteReference w:id="14"/>
      </w:r>
      <w:r w:rsidR="00516FAE">
        <w:t xml:space="preserve"> </w:t>
      </w:r>
      <w:r w:rsidR="00D27FB6" w:rsidRPr="001272BC">
        <w:rPr>
          <w:color w:val="auto"/>
        </w:rPr>
        <w:t>Adopting a mix</w:t>
      </w:r>
      <w:r w:rsidR="00D27FB6">
        <w:rPr>
          <w:color w:val="auto"/>
        </w:rPr>
        <w:t xml:space="preserve"> of approaches</w:t>
      </w:r>
      <w:r w:rsidR="00D27FB6" w:rsidRPr="001272BC">
        <w:rPr>
          <w:color w:val="auto"/>
        </w:rPr>
        <w:t xml:space="preserve">, we identify as family firms those where a person or </w:t>
      </w:r>
      <w:r w:rsidR="00D27FB6">
        <w:rPr>
          <w:color w:val="auto"/>
        </w:rPr>
        <w:t xml:space="preserve">a </w:t>
      </w:r>
      <w:r w:rsidR="00D27FB6" w:rsidRPr="001272BC">
        <w:rPr>
          <w:color w:val="auto"/>
        </w:rPr>
        <w:t xml:space="preserve">set of related persons </w:t>
      </w:r>
      <w:r w:rsidR="00D27FB6" w:rsidRPr="001272BC">
        <w:rPr>
          <w:color w:val="auto"/>
        </w:rPr>
        <w:lastRenderedPageBreak/>
        <w:t>controls at least 15 percent of the voting stock but</w:t>
      </w:r>
      <w:r w:rsidR="00D27FB6">
        <w:rPr>
          <w:color w:val="auto"/>
        </w:rPr>
        <w:t>,</w:t>
      </w:r>
      <w:r w:rsidR="00D27FB6" w:rsidRPr="001272BC">
        <w:rPr>
          <w:color w:val="auto"/>
        </w:rPr>
        <w:t xml:space="preserve"> </w:t>
      </w:r>
      <w:r w:rsidR="00D27FB6">
        <w:rPr>
          <w:color w:val="auto"/>
        </w:rPr>
        <w:t xml:space="preserve">following </w:t>
      </w:r>
      <w:proofErr w:type="spellStart"/>
      <w:r w:rsidR="00D27FB6" w:rsidRPr="001272BC">
        <w:rPr>
          <w:color w:val="auto"/>
        </w:rPr>
        <w:t>Colli</w:t>
      </w:r>
      <w:proofErr w:type="spellEnd"/>
      <w:r w:rsidR="00D27FB6">
        <w:rPr>
          <w:color w:val="auto"/>
        </w:rPr>
        <w:t xml:space="preserve"> et al (2003), we relax the percentage rule if the Board or management includes a</w:t>
      </w:r>
      <w:r w:rsidR="00D27FB6" w:rsidRPr="001272BC">
        <w:rPr>
          <w:color w:val="auto"/>
        </w:rPr>
        <w:t xml:space="preserve"> member of the founding family, even if family ownership has fallen below 15 percent (e.g., the Markel Corp.).</w:t>
      </w:r>
      <w:r w:rsidR="00D27FB6" w:rsidRPr="001272BC">
        <w:rPr>
          <w:rStyle w:val="FootnoteReference"/>
          <w:color w:val="auto"/>
        </w:rPr>
        <w:footnoteReference w:id="15"/>
      </w:r>
      <w:r w:rsidR="00D27FB6" w:rsidRPr="001272BC">
        <w:rPr>
          <w:color w:val="auto"/>
        </w:rPr>
        <w:t xml:space="preserve"> </w:t>
      </w:r>
      <w:r w:rsidR="005B13FB">
        <w:t xml:space="preserve">We identify </w:t>
      </w:r>
      <w:r w:rsidR="005B13FB" w:rsidRPr="001272BC">
        <w:rPr>
          <w:i/>
        </w:rPr>
        <w:t>Family</w:t>
      </w:r>
      <w:r w:rsidR="005B13FB">
        <w:t xml:space="preserve"> a</w:t>
      </w:r>
      <w:r w:rsidR="005B13FB" w:rsidRPr="001272BC">
        <w:t>s a dummy variable</w:t>
      </w:r>
      <w:r w:rsidR="00D27FB6">
        <w:t xml:space="preserve"> equal to one for family-controlled firms using data acquired</w:t>
      </w:r>
      <w:r w:rsidR="005B13FB" w:rsidRPr="001272BC">
        <w:t xml:space="preserve"> from the beneficial ownership section of the SEC form </w:t>
      </w:r>
      <w:r w:rsidR="008E644B">
        <w:t xml:space="preserve">DEF </w:t>
      </w:r>
      <w:r w:rsidR="005B13FB" w:rsidRPr="001272BC">
        <w:t>14A.</w:t>
      </w:r>
      <w:r w:rsidR="00A47C63">
        <w:t xml:space="preserve"> </w:t>
      </w:r>
      <w:r w:rsidR="00A47C63" w:rsidRPr="001272BC">
        <w:rPr>
          <w:color w:val="auto"/>
        </w:rPr>
        <w:t xml:space="preserve">Our rule is closest to that of Anderson and </w:t>
      </w:r>
      <w:proofErr w:type="spellStart"/>
      <w:r w:rsidR="00A47C63" w:rsidRPr="001272BC">
        <w:rPr>
          <w:color w:val="auto"/>
        </w:rPr>
        <w:t>Reeb</w:t>
      </w:r>
      <w:proofErr w:type="spellEnd"/>
      <w:r w:rsidR="00A47C63" w:rsidRPr="001272BC">
        <w:rPr>
          <w:color w:val="auto"/>
        </w:rPr>
        <w:t xml:space="preserve"> (2003) who report an average family ownership percentage of 17.8.</w:t>
      </w:r>
    </w:p>
    <w:p w:rsidR="005B13FB" w:rsidRPr="001A7C81" w:rsidRDefault="00A47C63" w:rsidP="001A7C81">
      <w:pPr>
        <w:pStyle w:val="Default"/>
        <w:spacing w:line="480" w:lineRule="auto"/>
        <w:ind w:firstLine="720"/>
        <w:jc w:val="both"/>
        <w:rPr>
          <w:color w:val="auto"/>
        </w:rPr>
      </w:pPr>
      <w:r>
        <w:t xml:space="preserve">A feature of the insurance industry structure complicates the study. </w:t>
      </w:r>
      <w:r w:rsidR="005B13FB" w:rsidRPr="001272BC">
        <w:t xml:space="preserve">Insurance companies in the U.S. are most typically organized as either stock or mutual organizations. Mutual insurance firms are cooperative </w:t>
      </w:r>
      <w:r w:rsidR="00511F62" w:rsidRPr="001272BC">
        <w:t>organizations, which</w:t>
      </w:r>
      <w:r w:rsidR="005B13FB" w:rsidRPr="001272BC">
        <w:t xml:space="preserve"> are </w:t>
      </w:r>
      <w:r>
        <w:t xml:space="preserve">legally </w:t>
      </w:r>
      <w:r w:rsidR="005B13FB" w:rsidRPr="001272BC">
        <w:t xml:space="preserve">owned by their policyholders. Some mutual insurers form insurer subsidiaries which may be organized as stock firms with publicly traded equity shares. </w:t>
      </w:r>
      <w:r w:rsidR="0071529E">
        <w:t>Five</w:t>
      </w:r>
      <w:r w:rsidR="0071529E" w:rsidRPr="001272BC">
        <w:t xml:space="preserve"> </w:t>
      </w:r>
      <w:r w:rsidR="005B13FB" w:rsidRPr="001272BC">
        <w:t xml:space="preserve">of the publicly traded firms in our sample are owned or controlled by mutual insurance companies. </w:t>
      </w:r>
      <w:r>
        <w:t>E</w:t>
      </w:r>
      <w:r w:rsidR="005B13FB" w:rsidRPr="001272BC">
        <w:t>vidence on mutual insurer operations has shown that mutual insurers, as opposed to mutual-owned stock insurers, tend to behave more conservatively or take less risk than stock insurers (</w:t>
      </w:r>
      <w:proofErr w:type="spellStart"/>
      <w:r w:rsidR="005B13FB" w:rsidRPr="001272BC">
        <w:t>Lamm</w:t>
      </w:r>
      <w:proofErr w:type="spellEnd"/>
      <w:r w:rsidR="005B13FB" w:rsidRPr="001272BC">
        <w:t xml:space="preserve">-Tennant and Starks, 1993; Lee, </w:t>
      </w:r>
      <w:proofErr w:type="spellStart"/>
      <w:r w:rsidR="005B13FB" w:rsidRPr="001272BC">
        <w:t>Mayers</w:t>
      </w:r>
      <w:proofErr w:type="spellEnd"/>
      <w:r w:rsidR="005B13FB" w:rsidRPr="001272BC">
        <w:t xml:space="preserve"> and Smith, 1997).</w:t>
      </w:r>
      <w:r w:rsidR="00C8585E">
        <w:t xml:space="preserve"> For robustness, in our regression analyses we treat mutual ownership as a form of family control in Models 1 and 2 and exclude these firms from the sample in Models 3 and 4</w:t>
      </w:r>
      <w:r w:rsidR="005B13FB" w:rsidRPr="001272BC">
        <w:t>.</w:t>
      </w:r>
    </w:p>
    <w:p w:rsidR="00FE7ECB" w:rsidRPr="00FE7ECB" w:rsidRDefault="00FE7ECB" w:rsidP="00FE7ECB">
      <w:pPr>
        <w:pStyle w:val="Default"/>
        <w:keepNext/>
        <w:spacing w:line="480" w:lineRule="auto"/>
        <w:rPr>
          <w:color w:val="auto"/>
        </w:rPr>
      </w:pPr>
      <w:r>
        <w:rPr>
          <w:bCs/>
          <w:color w:val="auto"/>
        </w:rPr>
        <w:t>I</w:t>
      </w:r>
      <w:r w:rsidRPr="00FE7ECB">
        <w:rPr>
          <w:bCs/>
          <w:color w:val="auto"/>
        </w:rPr>
        <w:t>I.2</w:t>
      </w:r>
      <w:r w:rsidR="001A7C81">
        <w:rPr>
          <w:bCs/>
          <w:color w:val="auto"/>
        </w:rPr>
        <w:t>b</w:t>
      </w:r>
      <w:r w:rsidRPr="00FE7ECB">
        <w:rPr>
          <w:bCs/>
          <w:color w:val="auto"/>
        </w:rPr>
        <w:t xml:space="preserve"> </w:t>
      </w:r>
      <w:r w:rsidRPr="00FE7ECB">
        <w:rPr>
          <w:bCs/>
          <w:smallCaps/>
          <w:color w:val="auto"/>
        </w:rPr>
        <w:t>Governance</w:t>
      </w:r>
      <w:r w:rsidRPr="00FE7ECB">
        <w:rPr>
          <w:bCs/>
          <w:color w:val="auto"/>
        </w:rPr>
        <w:t xml:space="preserve"> (Institutional Ownership) </w:t>
      </w:r>
    </w:p>
    <w:p w:rsidR="00FE7ECB" w:rsidRPr="007F18BB" w:rsidRDefault="00FE7ECB" w:rsidP="00FE7ECB">
      <w:pPr>
        <w:pStyle w:val="Default"/>
        <w:spacing w:line="480" w:lineRule="auto"/>
        <w:ind w:firstLine="720"/>
        <w:jc w:val="both"/>
        <w:rPr>
          <w:color w:val="auto"/>
        </w:rPr>
      </w:pPr>
      <w:r>
        <w:rPr>
          <w:color w:val="auto"/>
        </w:rPr>
        <w:t>We consider two institutional ownership characteristics</w:t>
      </w:r>
      <w:r w:rsidR="00C0598F">
        <w:rPr>
          <w:color w:val="auto"/>
        </w:rPr>
        <w:t xml:space="preserve">: </w:t>
      </w:r>
      <w:r>
        <w:rPr>
          <w:color w:val="auto"/>
        </w:rPr>
        <w:t xml:space="preserve">holdings by significant </w:t>
      </w:r>
      <w:proofErr w:type="spellStart"/>
      <w:r>
        <w:rPr>
          <w:color w:val="auto"/>
        </w:rPr>
        <w:t>blockholders</w:t>
      </w:r>
      <w:proofErr w:type="spellEnd"/>
      <w:r>
        <w:rPr>
          <w:color w:val="auto"/>
        </w:rPr>
        <w:t xml:space="preserve"> and holdings of </w:t>
      </w:r>
      <w:r w:rsidR="00C0598F">
        <w:rPr>
          <w:color w:val="auto"/>
        </w:rPr>
        <w:t xml:space="preserve">competing </w:t>
      </w:r>
      <w:r>
        <w:rPr>
          <w:color w:val="auto"/>
        </w:rPr>
        <w:t xml:space="preserve">firms within an industry by a small group of investors. </w:t>
      </w:r>
      <w:r w:rsidR="00C0598F">
        <w:rPr>
          <w:color w:val="auto"/>
        </w:rPr>
        <w:t>Our measure for i</w:t>
      </w:r>
      <w:r w:rsidRPr="001272BC">
        <w:rPr>
          <w:color w:val="auto"/>
        </w:rPr>
        <w:t>nstitutional ownership information,</w:t>
      </w:r>
      <w:r w:rsidR="00C0598F">
        <w:rPr>
          <w:color w:val="auto"/>
        </w:rPr>
        <w:t xml:space="preserve"> </w:t>
      </w:r>
      <w:proofErr w:type="spellStart"/>
      <w:r w:rsidR="00C0598F" w:rsidRPr="001272BC">
        <w:rPr>
          <w:i/>
          <w:color w:val="auto"/>
        </w:rPr>
        <w:t>Blockholder</w:t>
      </w:r>
      <w:proofErr w:type="spellEnd"/>
      <w:r w:rsidR="00C0598F" w:rsidRPr="001C5112">
        <w:rPr>
          <w:color w:val="auto"/>
        </w:rPr>
        <w:t>,</w:t>
      </w:r>
      <w:r w:rsidR="00C0598F">
        <w:rPr>
          <w:i/>
          <w:color w:val="auto"/>
        </w:rPr>
        <w:t xml:space="preserve"> </w:t>
      </w:r>
      <w:r w:rsidR="00C0598F">
        <w:rPr>
          <w:color w:val="auto"/>
        </w:rPr>
        <w:t>is</w:t>
      </w:r>
      <w:r w:rsidRPr="001272BC">
        <w:rPr>
          <w:color w:val="auto"/>
        </w:rPr>
        <w:t xml:space="preserve"> obtained from the</w:t>
      </w:r>
      <w:r w:rsidR="00FD43CB">
        <w:rPr>
          <w:color w:val="auto"/>
        </w:rPr>
        <w:t xml:space="preserve"> </w:t>
      </w:r>
      <w:r w:rsidR="0093179B">
        <w:rPr>
          <w:color w:val="auto"/>
        </w:rPr>
        <w:lastRenderedPageBreak/>
        <w:t>“</w:t>
      </w:r>
      <w:r w:rsidR="00FD43CB">
        <w:rPr>
          <w:color w:val="auto"/>
        </w:rPr>
        <w:t>b</w:t>
      </w:r>
      <w:r w:rsidRPr="001272BC">
        <w:rPr>
          <w:color w:val="auto"/>
        </w:rPr>
        <w:t xml:space="preserve">eneficially owned” section of the SEC’s </w:t>
      </w:r>
      <w:r w:rsidR="000B2EE6">
        <w:rPr>
          <w:color w:val="auto"/>
        </w:rPr>
        <w:t>DEF</w:t>
      </w:r>
      <w:r w:rsidR="000B2EE6" w:rsidRPr="001272BC">
        <w:rPr>
          <w:color w:val="auto"/>
        </w:rPr>
        <w:t xml:space="preserve"> </w:t>
      </w:r>
      <w:r w:rsidRPr="001272BC">
        <w:rPr>
          <w:color w:val="auto"/>
        </w:rPr>
        <w:t>14A</w:t>
      </w:r>
      <w:r w:rsidR="00C0598F">
        <w:rPr>
          <w:color w:val="auto"/>
        </w:rPr>
        <w:t xml:space="preserve"> and is</w:t>
      </w:r>
      <w:r w:rsidRPr="001272BC">
        <w:rPr>
          <w:color w:val="auto"/>
        </w:rPr>
        <w:t xml:space="preserve"> equal to the sum of the listed ownership by </w:t>
      </w:r>
      <w:r>
        <w:rPr>
          <w:color w:val="auto"/>
        </w:rPr>
        <w:t xml:space="preserve">“significant” </w:t>
      </w:r>
      <w:proofErr w:type="spellStart"/>
      <w:r w:rsidRPr="001272BC">
        <w:rPr>
          <w:color w:val="auto"/>
        </w:rPr>
        <w:t>blockholders</w:t>
      </w:r>
      <w:proofErr w:type="spellEnd"/>
      <w:r w:rsidRPr="001272BC">
        <w:rPr>
          <w:color w:val="auto"/>
        </w:rPr>
        <w:t>.</w:t>
      </w:r>
      <w:r>
        <w:rPr>
          <w:rStyle w:val="FootnoteReference"/>
          <w:color w:val="auto"/>
        </w:rPr>
        <w:footnoteReference w:id="16"/>
      </w:r>
    </w:p>
    <w:p w:rsidR="00FE7ECB" w:rsidRDefault="00FE7ECB" w:rsidP="00723FE4">
      <w:pPr>
        <w:pStyle w:val="Default"/>
        <w:spacing w:line="480" w:lineRule="auto"/>
        <w:ind w:firstLine="720"/>
        <w:jc w:val="both"/>
      </w:pPr>
      <w:r w:rsidRPr="001272BC">
        <w:t xml:space="preserve">A recent working paper describes </w:t>
      </w:r>
      <w:r w:rsidR="001A7C81">
        <w:t xml:space="preserve">a different </w:t>
      </w:r>
      <w:proofErr w:type="spellStart"/>
      <w:r w:rsidR="001A7C81">
        <w:t>blockholder</w:t>
      </w:r>
      <w:proofErr w:type="spellEnd"/>
      <w:r w:rsidR="001A7C81">
        <w:t xml:space="preserve">-type ownership issue; </w:t>
      </w:r>
      <w:r w:rsidRPr="001272BC">
        <w:t xml:space="preserve">the possible </w:t>
      </w:r>
      <w:r w:rsidR="006211C4">
        <w:t xml:space="preserve">anti-competitive </w:t>
      </w:r>
      <w:r w:rsidRPr="001272BC">
        <w:t>implications of an observed increase in the ownership of natural corporate competitors by a small set of large</w:t>
      </w:r>
      <w:r w:rsidR="00705FB5">
        <w:t>,</w:t>
      </w:r>
      <w:r w:rsidRPr="001272BC">
        <w:t xml:space="preserve"> diversified institutional investors (</w:t>
      </w:r>
      <w:proofErr w:type="spellStart"/>
      <w:r w:rsidRPr="001272BC">
        <w:t>Azur</w:t>
      </w:r>
      <w:proofErr w:type="spellEnd"/>
      <w:r w:rsidRPr="001272BC">
        <w:t xml:space="preserve"> et al, 2015). </w:t>
      </w:r>
      <w:r w:rsidR="001A7C81">
        <w:t>In an application d</w:t>
      </w:r>
      <w:r w:rsidRPr="001272BC">
        <w:t>escrib</w:t>
      </w:r>
      <w:r w:rsidR="001A7C81">
        <w:t>ed</w:t>
      </w:r>
      <w:r w:rsidRPr="001272BC">
        <w:t xml:space="preserve"> as a natural experiment they determined that airline ticket prices on selected routes </w:t>
      </w:r>
      <w:r w:rsidR="0093179B">
        <w:t>were</w:t>
      </w:r>
      <w:r w:rsidR="0093179B" w:rsidRPr="001272BC">
        <w:t xml:space="preserve"> </w:t>
      </w:r>
      <w:r w:rsidRPr="001272BC">
        <w:t>10% higher due to common ownership by Blackrock</w:t>
      </w:r>
      <w:r w:rsidR="001A7C81">
        <w:t xml:space="preserve"> Capital</w:t>
      </w:r>
      <w:r w:rsidRPr="001272BC">
        <w:t xml:space="preserve">. Because of the </w:t>
      </w:r>
      <w:r w:rsidR="002E1DB7">
        <w:t xml:space="preserve">findings </w:t>
      </w:r>
      <w:r w:rsidR="00705FB5">
        <w:t>in</w:t>
      </w:r>
      <w:r w:rsidR="002E1DB7">
        <w:t xml:space="preserve"> </w:t>
      </w:r>
      <w:proofErr w:type="spellStart"/>
      <w:r w:rsidR="002E1DB7">
        <w:t>Azur</w:t>
      </w:r>
      <w:proofErr w:type="spellEnd"/>
      <w:r w:rsidR="002E1DB7">
        <w:t>, et al. (2015)</w:t>
      </w:r>
      <w:r w:rsidRPr="001272BC">
        <w:t xml:space="preserve">, we consider a </w:t>
      </w:r>
      <w:r w:rsidR="001A7C81">
        <w:t xml:space="preserve">dummy </w:t>
      </w:r>
      <w:r w:rsidRPr="001272BC">
        <w:t>variable i</w:t>
      </w:r>
      <w:r w:rsidR="001A7C81">
        <w:t>dentifying the presence of Blac</w:t>
      </w:r>
      <w:r w:rsidRPr="001272BC">
        <w:t>krock</w:t>
      </w:r>
      <w:r w:rsidR="002E1DB7">
        <w:t xml:space="preserve"> ownership</w:t>
      </w:r>
      <w:r>
        <w:t>.</w:t>
      </w:r>
      <w:r w:rsidR="0093179B">
        <w:rPr>
          <w:rStyle w:val="FootnoteReference"/>
        </w:rPr>
        <w:footnoteReference w:id="17"/>
      </w:r>
      <w:r w:rsidR="006211C4">
        <w:t xml:space="preserve"> We </w:t>
      </w:r>
      <w:r w:rsidR="00723FE4">
        <w:t>note that a recent Economist article suggests a similar possibility under the coordinating influence of what they term the “big three” institutional investors.</w:t>
      </w:r>
      <w:r w:rsidR="00CD4A2D">
        <w:rPr>
          <w:rStyle w:val="FootnoteReference"/>
        </w:rPr>
        <w:footnoteReference w:id="18"/>
      </w:r>
    </w:p>
    <w:p w:rsidR="00B16AFC" w:rsidRPr="0068558E" w:rsidRDefault="00B16AFC" w:rsidP="00B16AFC">
      <w:pPr>
        <w:pStyle w:val="Default"/>
        <w:keepNext/>
        <w:spacing w:line="480" w:lineRule="auto"/>
        <w:rPr>
          <w:color w:val="auto"/>
        </w:rPr>
      </w:pPr>
      <w:r>
        <w:rPr>
          <w:bCs/>
          <w:smallCaps/>
          <w:color w:val="auto"/>
        </w:rPr>
        <w:t>I</w:t>
      </w:r>
      <w:r w:rsidRPr="0068558E">
        <w:rPr>
          <w:bCs/>
          <w:smallCaps/>
          <w:color w:val="auto"/>
        </w:rPr>
        <w:t>I.2</w:t>
      </w:r>
      <w:r>
        <w:rPr>
          <w:color w:val="auto"/>
        </w:rPr>
        <w:t>c</w:t>
      </w:r>
      <w:r w:rsidRPr="0068558E">
        <w:rPr>
          <w:bCs/>
          <w:smallCaps/>
          <w:color w:val="auto"/>
        </w:rPr>
        <w:t xml:space="preserve"> Governance </w:t>
      </w:r>
      <w:r>
        <w:rPr>
          <w:bCs/>
          <w:color w:val="auto"/>
        </w:rPr>
        <w:t>(Board)</w:t>
      </w:r>
    </w:p>
    <w:p w:rsidR="00986A6F" w:rsidRDefault="0093179B" w:rsidP="00B82F68">
      <w:pPr>
        <w:spacing w:line="480" w:lineRule="auto"/>
        <w:ind w:firstLine="720"/>
        <w:jc w:val="both"/>
      </w:pPr>
      <w:r>
        <w:t>As discussed above, v</w:t>
      </w:r>
      <w:r w:rsidR="00723FE4">
        <w:t>ariables that describe the board</w:t>
      </w:r>
      <w:r w:rsidR="00B16AFC" w:rsidRPr="001272BC">
        <w:t xml:space="preserve"> </w:t>
      </w:r>
      <w:r w:rsidR="00FE4996">
        <w:t>make up most of the factors</w:t>
      </w:r>
      <w:r w:rsidR="00B16AFC" w:rsidRPr="001272BC">
        <w:t xml:space="preserve"> </w:t>
      </w:r>
      <w:r w:rsidR="00FE4996">
        <w:t>tested</w:t>
      </w:r>
      <w:r w:rsidR="00FE4996" w:rsidRPr="001272BC">
        <w:t xml:space="preserve"> </w:t>
      </w:r>
      <w:r w:rsidR="00B16AFC">
        <w:t xml:space="preserve">by </w:t>
      </w:r>
      <w:r w:rsidR="00FE4996">
        <w:t xml:space="preserve">the </w:t>
      </w:r>
      <w:proofErr w:type="spellStart"/>
      <w:r w:rsidR="00B16AFC" w:rsidRPr="001272BC">
        <w:t>Lar</w:t>
      </w:r>
      <w:r w:rsidR="00FE4996">
        <w:t>c</w:t>
      </w:r>
      <w:r w:rsidR="00B16AFC" w:rsidRPr="001272BC">
        <w:t>ker</w:t>
      </w:r>
      <w:proofErr w:type="spellEnd"/>
      <w:r w:rsidR="00B16AFC" w:rsidRPr="001272BC">
        <w:t xml:space="preserve"> and </w:t>
      </w:r>
      <w:r w:rsidR="00B16AFC">
        <w:t xml:space="preserve">other governance studies. </w:t>
      </w:r>
      <w:r w:rsidR="00B16AFC" w:rsidRPr="001272BC">
        <w:t xml:space="preserve">Our study follows a strain of the governance literature that focuses on what </w:t>
      </w:r>
      <w:proofErr w:type="spellStart"/>
      <w:r w:rsidR="00B16AFC" w:rsidRPr="001272BC">
        <w:t>Lar</w:t>
      </w:r>
      <w:r w:rsidR="00FE4996">
        <w:t>c</w:t>
      </w:r>
      <w:r w:rsidR="00B16AFC" w:rsidRPr="001272BC">
        <w:t>ker</w:t>
      </w:r>
      <w:proofErr w:type="spellEnd"/>
      <w:r w:rsidR="00B16AFC" w:rsidRPr="001272BC">
        <w:t xml:space="preserve"> </w:t>
      </w:r>
      <w:r w:rsidR="00751DAD">
        <w:t xml:space="preserve">et al (2007) </w:t>
      </w:r>
      <w:r w:rsidR="00B16AFC" w:rsidRPr="001272BC">
        <w:t xml:space="preserve">describe as </w:t>
      </w:r>
      <w:r w:rsidR="00B16AFC" w:rsidRPr="005B13FB">
        <w:t xml:space="preserve">“Insider Chairman” </w:t>
      </w:r>
      <w:r w:rsidR="00B16AFC" w:rsidRPr="001272BC">
        <w:t xml:space="preserve">but that has more generally come to be described in the literature as </w:t>
      </w:r>
      <w:r w:rsidR="00B16AFC" w:rsidRPr="005B13FB">
        <w:t>“</w:t>
      </w:r>
      <w:r w:rsidR="00511F62">
        <w:t>d</w:t>
      </w:r>
      <w:r w:rsidR="00B16AFC" w:rsidRPr="005B13FB">
        <w:t>uality</w:t>
      </w:r>
      <w:r w:rsidR="00B16AFC">
        <w:t>,</w:t>
      </w:r>
      <w:r w:rsidR="00B16AFC" w:rsidRPr="005B13FB">
        <w:t>”</w:t>
      </w:r>
      <w:r w:rsidR="00B16AFC" w:rsidRPr="001272BC">
        <w:t xml:space="preserve"> a measure </w:t>
      </w:r>
      <w:r w:rsidR="00FE4996">
        <w:t>which equals one</w:t>
      </w:r>
      <w:r w:rsidR="00B16AFC" w:rsidRPr="001272BC">
        <w:t xml:space="preserve"> if the </w:t>
      </w:r>
      <w:r w:rsidR="00FE4996">
        <w:t>b</w:t>
      </w:r>
      <w:r w:rsidR="00FE4996" w:rsidRPr="001272BC">
        <w:t xml:space="preserve">oard </w:t>
      </w:r>
      <w:r w:rsidR="00B16AFC" w:rsidRPr="001272BC">
        <w:t>chairperson and CEO are the same person</w:t>
      </w:r>
      <w:r w:rsidR="00FE4996">
        <w:t xml:space="preserve"> and zero otherwise</w:t>
      </w:r>
      <w:r w:rsidR="00B16AFC" w:rsidRPr="001272BC">
        <w:t xml:space="preserve">. </w:t>
      </w:r>
      <w:r w:rsidR="00705FB5">
        <w:t>D</w:t>
      </w:r>
      <w:r w:rsidR="00B16AFC">
        <w:t>uality</w:t>
      </w:r>
      <w:r w:rsidR="00B16AFC" w:rsidRPr="005B13FB">
        <w:t xml:space="preserve"> </w:t>
      </w:r>
      <w:r w:rsidR="00705FB5">
        <w:t>is</w:t>
      </w:r>
      <w:r w:rsidR="00705FB5" w:rsidRPr="001272BC">
        <w:t xml:space="preserve"> </w:t>
      </w:r>
      <w:r w:rsidR="00B16AFC" w:rsidRPr="001272BC">
        <w:t xml:space="preserve">often used to identify firms deemed more likely to follow a stewardship rather than an agency governance </w:t>
      </w:r>
      <w:r w:rsidR="00B16AFC" w:rsidRPr="001272BC">
        <w:lastRenderedPageBreak/>
        <w:t xml:space="preserve">approach (Donaldson </w:t>
      </w:r>
      <w:r w:rsidR="00D2515D">
        <w:t>and</w:t>
      </w:r>
      <w:r w:rsidR="00B16AFC" w:rsidRPr="001272BC">
        <w:t xml:space="preserve"> Davis 1991). </w:t>
      </w:r>
      <w:r w:rsidR="00705FB5">
        <w:t>W</w:t>
      </w:r>
      <w:r w:rsidR="00705FB5" w:rsidRPr="001272BC">
        <w:t>e</w:t>
      </w:r>
      <w:r w:rsidR="00705FB5">
        <w:t xml:space="preserve"> therefore</w:t>
      </w:r>
      <w:r w:rsidR="00705FB5" w:rsidRPr="001272BC">
        <w:t xml:space="preserve"> include a dummy variable equal to one if the CEO is also the Chairperson</w:t>
      </w:r>
      <w:r w:rsidR="00705FB5">
        <w:t xml:space="preserve"> and we also consider a family/duality interaction term</w:t>
      </w:r>
      <w:r w:rsidR="00705FB5" w:rsidRPr="001272BC">
        <w:t xml:space="preserve">. </w:t>
      </w:r>
      <w:r w:rsidR="00B16AFC" w:rsidRPr="001272BC">
        <w:t xml:space="preserve">The source of data for </w:t>
      </w:r>
      <w:r w:rsidR="00B16AFC">
        <w:t>duality</w:t>
      </w:r>
      <w:r w:rsidR="00B16AFC" w:rsidRPr="005B13FB">
        <w:t xml:space="preserve"> </w:t>
      </w:r>
      <w:r w:rsidR="00B16AFC" w:rsidRPr="001272BC">
        <w:t xml:space="preserve">is the SEC’s </w:t>
      </w:r>
      <w:r w:rsidR="00705FB5">
        <w:t>DEF</w:t>
      </w:r>
      <w:r w:rsidR="00705FB5" w:rsidRPr="001272BC">
        <w:t xml:space="preserve"> </w:t>
      </w:r>
      <w:r w:rsidR="00B16AFC" w:rsidRPr="001272BC">
        <w:t>14A</w:t>
      </w:r>
      <w:r w:rsidR="00B16AFC">
        <w:t>.</w:t>
      </w:r>
      <w:r w:rsidR="00705FB5" w:rsidRPr="00705FB5">
        <w:t xml:space="preserve"> </w:t>
      </w:r>
      <w:r w:rsidR="00705FB5">
        <w:t>W</w:t>
      </w:r>
      <w:r w:rsidR="00705FB5" w:rsidRPr="001272BC">
        <w:t>e expect a negative relationship between duality and firm performance</w:t>
      </w:r>
      <w:r w:rsidR="00705FB5">
        <w:t xml:space="preserve"> but a positive family-duality interaction effect</w:t>
      </w:r>
      <w:r w:rsidR="00705FB5" w:rsidRPr="001272BC">
        <w:t>.</w:t>
      </w:r>
    </w:p>
    <w:p w:rsidR="00FE7ECB" w:rsidRPr="00FE7ECB" w:rsidRDefault="00FE7ECB" w:rsidP="00FE7ECB">
      <w:pPr>
        <w:pStyle w:val="Default"/>
        <w:keepNext/>
        <w:spacing w:line="480" w:lineRule="auto"/>
        <w:rPr>
          <w:color w:val="auto"/>
        </w:rPr>
      </w:pPr>
      <w:r>
        <w:rPr>
          <w:bCs/>
          <w:color w:val="auto"/>
        </w:rPr>
        <w:t>II</w:t>
      </w:r>
      <w:r w:rsidRPr="00FE7ECB">
        <w:rPr>
          <w:bCs/>
          <w:color w:val="auto"/>
        </w:rPr>
        <w:t>.2</w:t>
      </w:r>
      <w:r w:rsidR="00B16AFC">
        <w:rPr>
          <w:bCs/>
          <w:color w:val="auto"/>
        </w:rPr>
        <w:t>d</w:t>
      </w:r>
      <w:r w:rsidRPr="00FE7ECB">
        <w:rPr>
          <w:bCs/>
          <w:color w:val="auto"/>
        </w:rPr>
        <w:t xml:space="preserve"> </w:t>
      </w:r>
      <w:r w:rsidRPr="00FE7ECB">
        <w:rPr>
          <w:bCs/>
          <w:smallCaps/>
          <w:color w:val="auto"/>
        </w:rPr>
        <w:t>Governance</w:t>
      </w:r>
      <w:r w:rsidRPr="00FE7ECB">
        <w:rPr>
          <w:bCs/>
          <w:color w:val="auto"/>
        </w:rPr>
        <w:t xml:space="preserve"> (Compensation) </w:t>
      </w:r>
    </w:p>
    <w:p w:rsidR="00FE7ECB" w:rsidRDefault="00173B35" w:rsidP="00FE7ECB">
      <w:pPr>
        <w:pStyle w:val="BodyText"/>
        <w:spacing w:line="480" w:lineRule="auto"/>
        <w:ind w:firstLine="720"/>
        <w:jc w:val="both"/>
      </w:pPr>
      <w:r w:rsidRPr="001272BC">
        <w:t xml:space="preserve">To address the </w:t>
      </w:r>
      <w:r>
        <w:t>compensation/</w:t>
      </w:r>
      <w:r w:rsidRPr="001272BC">
        <w:t>agency incentive argument, follow</w:t>
      </w:r>
      <w:r>
        <w:t xml:space="preserve">ing </w:t>
      </w:r>
      <w:proofErr w:type="spellStart"/>
      <w:r>
        <w:t>Larcker</w:t>
      </w:r>
      <w:proofErr w:type="spellEnd"/>
      <w:r w:rsidRPr="001272BC">
        <w:t xml:space="preserve">, </w:t>
      </w:r>
      <w:r w:rsidRPr="001E163F">
        <w:rPr>
          <w:i/>
        </w:rPr>
        <w:t>et al.</w:t>
      </w:r>
      <w:r>
        <w:t xml:space="preserve"> </w:t>
      </w:r>
      <w:r w:rsidRPr="001272BC">
        <w:t>(2007)</w:t>
      </w:r>
      <w:r>
        <w:t>,</w:t>
      </w:r>
      <w:r w:rsidRPr="001272BC">
        <w:t xml:space="preserve"> we consider </w:t>
      </w:r>
      <w:r>
        <w:t>current compensation and forward compensation</w:t>
      </w:r>
      <w:r w:rsidR="004D7D50">
        <w:t xml:space="preserve">. Current compensation includes salary, bonus and others </w:t>
      </w:r>
      <w:r>
        <w:t xml:space="preserve">that </w:t>
      </w:r>
      <w:r w:rsidR="004D7D50">
        <w:t>are</w:t>
      </w:r>
      <w:r>
        <w:t xml:space="preserve"> not sensitive to future firm performance</w:t>
      </w:r>
      <w:r w:rsidR="004D7D50">
        <w:t>.</w:t>
      </w:r>
      <w:r>
        <w:t xml:space="preserve"> </w:t>
      </w:r>
      <w:r w:rsidR="004D7D50">
        <w:t xml:space="preserve">Forward compensation is defined as the percentage of </w:t>
      </w:r>
      <w:r w:rsidR="004D7D50" w:rsidRPr="001272BC">
        <w:t xml:space="preserve">restricted performance stock plus options </w:t>
      </w:r>
      <w:r w:rsidR="004D7D50">
        <w:t xml:space="preserve">in </w:t>
      </w:r>
      <w:r w:rsidR="004D7D50" w:rsidRPr="001272BC">
        <w:t>total compensation</w:t>
      </w:r>
      <w:r w:rsidR="004D7D50">
        <w:t>,</w:t>
      </w:r>
      <w:r>
        <w:t xml:space="preserve"> </w:t>
      </w:r>
      <w:r w:rsidRPr="001272BC">
        <w:t>a measure that rewards the CEO when the longer-term performance of the firm results in higher equity prices.</w:t>
      </w:r>
      <w:r>
        <w:rPr>
          <w:rStyle w:val="FootnoteReference"/>
        </w:rPr>
        <w:footnoteReference w:id="19"/>
      </w:r>
      <w:r w:rsidRPr="001272BC">
        <w:t xml:space="preserve"> These </w:t>
      </w:r>
      <w:r w:rsidR="00D2515D">
        <w:t>compensation</w:t>
      </w:r>
      <w:r w:rsidR="004D7D50" w:rsidRPr="001272BC">
        <w:t xml:space="preserve"> </w:t>
      </w:r>
      <w:r w:rsidRPr="001272BC">
        <w:t>data items are collected using a co</w:t>
      </w:r>
      <w:r>
        <w:t xml:space="preserve">mbination of the </w:t>
      </w:r>
      <w:proofErr w:type="spellStart"/>
      <w:r>
        <w:t>Compustat</w:t>
      </w:r>
      <w:proofErr w:type="spellEnd"/>
      <w:r>
        <w:t xml:space="preserve"> </w:t>
      </w:r>
      <w:proofErr w:type="spellStart"/>
      <w:r>
        <w:t>Execucomp</w:t>
      </w:r>
      <w:proofErr w:type="spellEnd"/>
      <w:r w:rsidRPr="001272BC">
        <w:t xml:space="preserve"> Annual Compensation file and hand-collection</w:t>
      </w:r>
      <w:r>
        <w:t xml:space="preserve"> from DEF 14A filings</w:t>
      </w:r>
      <w:r w:rsidRPr="001272BC">
        <w:t>.</w:t>
      </w:r>
    </w:p>
    <w:p w:rsidR="00B16AFC" w:rsidRPr="00FE7ECB" w:rsidRDefault="00B16AFC" w:rsidP="00B16AFC">
      <w:pPr>
        <w:pStyle w:val="Default"/>
        <w:keepNext/>
        <w:spacing w:line="480" w:lineRule="auto"/>
        <w:rPr>
          <w:color w:val="auto"/>
        </w:rPr>
      </w:pPr>
      <w:r>
        <w:rPr>
          <w:bCs/>
          <w:color w:val="auto"/>
        </w:rPr>
        <w:t>I</w:t>
      </w:r>
      <w:r w:rsidRPr="00FE7ECB">
        <w:rPr>
          <w:bCs/>
          <w:color w:val="auto"/>
        </w:rPr>
        <w:t>I.2</w:t>
      </w:r>
      <w:r w:rsidR="00BA20C8">
        <w:rPr>
          <w:bCs/>
          <w:color w:val="auto"/>
        </w:rPr>
        <w:t>e</w:t>
      </w:r>
      <w:r w:rsidRPr="00FE7ECB">
        <w:rPr>
          <w:bCs/>
          <w:color w:val="auto"/>
        </w:rPr>
        <w:t xml:space="preserve"> </w:t>
      </w:r>
      <w:r w:rsidRPr="00C5783E">
        <w:rPr>
          <w:smallCaps/>
          <w:color w:val="auto"/>
        </w:rPr>
        <w:t xml:space="preserve">Governance </w:t>
      </w:r>
      <w:r w:rsidRPr="00FE7ECB">
        <w:rPr>
          <w:bCs/>
          <w:color w:val="auto"/>
        </w:rPr>
        <w:t>(</w:t>
      </w:r>
      <w:r w:rsidRPr="00C5783E">
        <w:rPr>
          <w:color w:val="auto"/>
        </w:rPr>
        <w:t>Debt</w:t>
      </w:r>
      <w:r w:rsidRPr="00FE7ECB">
        <w:rPr>
          <w:bCs/>
          <w:color w:val="auto"/>
        </w:rPr>
        <w:t xml:space="preserve">) </w:t>
      </w:r>
    </w:p>
    <w:p w:rsidR="00700CFE" w:rsidRDefault="00BA20C8">
      <w:pPr>
        <w:spacing w:line="480" w:lineRule="auto"/>
        <w:ind w:firstLine="720"/>
        <w:jc w:val="both"/>
      </w:pPr>
      <w:r>
        <w:t>Because issuers of debt perform a monitoring function, debt is often characterized as a measure of corporate governance (</w:t>
      </w:r>
      <w:r w:rsidR="00B16AFC" w:rsidRPr="001272BC">
        <w:t xml:space="preserve">Larker </w:t>
      </w:r>
      <w:r w:rsidR="00B16AFC" w:rsidRPr="00BA20C8">
        <w:rPr>
          <w:i/>
        </w:rPr>
        <w:t>et al</w:t>
      </w:r>
      <w:r>
        <w:t xml:space="preserve">. </w:t>
      </w:r>
      <w:r w:rsidR="00B16AFC" w:rsidRPr="001272BC">
        <w:t>2007)</w:t>
      </w:r>
      <w:r>
        <w:t>.</w:t>
      </w:r>
      <w:r w:rsidR="00511F62">
        <w:t xml:space="preserve"> </w:t>
      </w:r>
      <w:r w:rsidR="00FE7ECB" w:rsidRPr="001272BC">
        <w:t xml:space="preserve">Holderness </w:t>
      </w:r>
      <w:r w:rsidR="00FE7ECB" w:rsidRPr="001272BC">
        <w:rPr>
          <w:i/>
        </w:rPr>
        <w:t xml:space="preserve">et al. </w:t>
      </w:r>
      <w:r w:rsidR="00FE7ECB" w:rsidRPr="001272BC">
        <w:t>(1999) include the ratio of long-term debt to size (measured by total assets) as a measure of leverage.</w:t>
      </w:r>
      <w:r w:rsidR="00FE7ECB" w:rsidRPr="001272BC">
        <w:rPr>
          <w:rStyle w:val="FootnoteReference"/>
        </w:rPr>
        <w:footnoteReference w:id="20"/>
      </w:r>
      <w:r w:rsidR="00FE7ECB" w:rsidRPr="001272BC">
        <w:t xml:space="preserve"> High debt-to-</w:t>
      </w:r>
      <w:r w:rsidR="00027C9E">
        <w:t>asset</w:t>
      </w:r>
      <w:r w:rsidR="00027C9E" w:rsidRPr="001272BC">
        <w:t xml:space="preserve"> </w:t>
      </w:r>
      <w:r w:rsidR="00FE7ECB" w:rsidRPr="001272BC">
        <w:t>values are associated with companies that may have difficulty generating sufficient cash while a low ratio identifies companies that are not taking advantage of the possib</w:t>
      </w:r>
      <w:r w:rsidR="00684591">
        <w:t xml:space="preserve">ilities for increased profits. </w:t>
      </w:r>
      <w:r w:rsidR="00FE7ECB" w:rsidRPr="001272BC">
        <w:t xml:space="preserve">However, service companies, including </w:t>
      </w:r>
      <w:r w:rsidR="00D1771B">
        <w:t>insurance</w:t>
      </w:r>
      <w:r w:rsidR="00FE7ECB" w:rsidRPr="001272BC">
        <w:t xml:space="preserve"> companies,</w:t>
      </w:r>
      <w:r w:rsidR="00450F8C">
        <w:t xml:space="preserve"> do not have </w:t>
      </w:r>
      <w:r w:rsidR="00450F8C">
        <w:lastRenderedPageBreak/>
        <w:t xml:space="preserve">traditional debt. Given the absence of reported 10-K level information on </w:t>
      </w:r>
      <w:r>
        <w:t xml:space="preserve">expected losses payable, </w:t>
      </w:r>
      <w:r w:rsidRPr="001272BC">
        <w:t xml:space="preserve">we </w:t>
      </w:r>
      <w:r w:rsidR="00511F62">
        <w:t xml:space="preserve">follow </w:t>
      </w:r>
      <w:proofErr w:type="spellStart"/>
      <w:r w:rsidR="00511F62">
        <w:t>Altuntas</w:t>
      </w:r>
      <w:proofErr w:type="spellEnd"/>
      <w:r w:rsidR="00511F62">
        <w:t xml:space="preserve"> </w:t>
      </w:r>
      <w:r w:rsidR="00511F62">
        <w:rPr>
          <w:i/>
        </w:rPr>
        <w:t>et al.</w:t>
      </w:r>
      <w:r w:rsidR="00511F62">
        <w:t xml:space="preserve"> (forthcoming) by measuring leverage as one minus the ratio of shareholder equity to total assets. The measure approximates the portion of assets not financed by equity – typically debt.</w:t>
      </w:r>
    </w:p>
    <w:p w:rsidR="00FE7ECB" w:rsidRPr="00722AE3" w:rsidRDefault="00FE7ECB" w:rsidP="00FE7ECB">
      <w:pPr>
        <w:pStyle w:val="Default"/>
        <w:keepNext/>
        <w:spacing w:line="480" w:lineRule="auto"/>
        <w:rPr>
          <w:color w:val="auto"/>
        </w:rPr>
      </w:pPr>
      <w:r w:rsidRPr="00FE7ECB">
        <w:rPr>
          <w:bCs/>
          <w:smallCaps/>
          <w:color w:val="auto"/>
        </w:rPr>
        <w:t>II.</w:t>
      </w:r>
      <w:r w:rsidR="00D670C3">
        <w:rPr>
          <w:bCs/>
          <w:smallCaps/>
          <w:color w:val="auto"/>
        </w:rPr>
        <w:t>3</w:t>
      </w:r>
      <w:r w:rsidR="00D670C3" w:rsidRPr="00FE7ECB">
        <w:rPr>
          <w:bCs/>
          <w:smallCaps/>
          <w:color w:val="auto"/>
        </w:rPr>
        <w:t xml:space="preserve"> </w:t>
      </w:r>
      <w:r w:rsidR="00722AE3">
        <w:rPr>
          <w:bCs/>
          <w:smallCaps/>
          <w:color w:val="auto"/>
        </w:rPr>
        <w:t>Controls (</w:t>
      </w:r>
      <w:r w:rsidRPr="00722AE3">
        <w:rPr>
          <w:color w:val="auto"/>
        </w:rPr>
        <w:t>Liquidity</w:t>
      </w:r>
      <w:r w:rsidR="00722AE3">
        <w:rPr>
          <w:color w:val="auto"/>
        </w:rPr>
        <w:t xml:space="preserve">, </w:t>
      </w:r>
      <w:r w:rsidR="001139EB">
        <w:rPr>
          <w:color w:val="auto"/>
        </w:rPr>
        <w:t xml:space="preserve">Risk, </w:t>
      </w:r>
      <w:r w:rsidR="00722AE3">
        <w:rPr>
          <w:color w:val="auto"/>
        </w:rPr>
        <w:t>Size, and Diversification)</w:t>
      </w:r>
      <w:r w:rsidRPr="00722AE3">
        <w:rPr>
          <w:color w:val="auto"/>
        </w:rPr>
        <w:t xml:space="preserve"> </w:t>
      </w:r>
    </w:p>
    <w:p w:rsidR="001139EB" w:rsidRDefault="00722AE3" w:rsidP="00FE7ECB">
      <w:pPr>
        <w:pStyle w:val="BodyText"/>
        <w:spacing w:line="480" w:lineRule="auto"/>
        <w:ind w:firstLine="720"/>
        <w:jc w:val="both"/>
      </w:pPr>
      <w:r>
        <w:t>To better isolate the effect of a firm characteristic on firm performance</w:t>
      </w:r>
      <w:r w:rsidR="00707D7B">
        <w:t xml:space="preserve"> and avoid misspecification errors, </w:t>
      </w:r>
      <w:r>
        <w:t>r</w:t>
      </w:r>
      <w:r w:rsidR="00FE7ECB">
        <w:t>esearchers correct</w:t>
      </w:r>
      <w:r w:rsidR="00FE7ECB" w:rsidRPr="001272BC">
        <w:t xml:space="preserve"> for differences </w:t>
      </w:r>
      <w:r w:rsidR="00FE7ECB">
        <w:t xml:space="preserve">caused by </w:t>
      </w:r>
      <w:r w:rsidR="00FE7ECB" w:rsidRPr="001272BC">
        <w:t xml:space="preserve">variation in </w:t>
      </w:r>
      <w:r>
        <w:t xml:space="preserve">a standard set of </w:t>
      </w:r>
      <w:r w:rsidR="005E66F2">
        <w:t>issues</w:t>
      </w:r>
      <w:r w:rsidR="00707D7B">
        <w:t xml:space="preserve"> known to influence performance variations;</w:t>
      </w:r>
      <w:r w:rsidR="005E66F2">
        <w:t xml:space="preserve"> </w:t>
      </w:r>
      <w:r w:rsidR="005E66F2">
        <w:rPr>
          <w:i/>
        </w:rPr>
        <w:t>e.g.,</w:t>
      </w:r>
      <w:r>
        <w:t xml:space="preserve"> economies of scale</w:t>
      </w:r>
      <w:r w:rsidR="005E66F2">
        <w:t>.</w:t>
      </w:r>
      <w:r w:rsidR="00516FAE">
        <w:t xml:space="preserve"> </w:t>
      </w:r>
      <w:r w:rsidR="00707D7B">
        <w:t>The</w:t>
      </w:r>
      <w:r w:rsidR="005E66F2">
        <w:t xml:space="preserve"> set of such factors considered in this study includes firm </w:t>
      </w:r>
      <w:r w:rsidR="00894E76">
        <w:t>liquidity</w:t>
      </w:r>
      <w:r w:rsidR="001139EB">
        <w:t>, risk,</w:t>
      </w:r>
      <w:r w:rsidR="005E66F2">
        <w:t xml:space="preserve"> </w:t>
      </w:r>
      <w:r w:rsidR="00707D7B">
        <w:t xml:space="preserve">and </w:t>
      </w:r>
      <w:r w:rsidR="005E66F2">
        <w:t>size</w:t>
      </w:r>
      <w:r w:rsidR="00707D7B">
        <w:t>. D</w:t>
      </w:r>
      <w:r w:rsidR="001139EB">
        <w:t>iversification (or focus</w:t>
      </w:r>
      <w:r w:rsidR="00707D7B">
        <w:t>)</w:t>
      </w:r>
      <w:r w:rsidR="001139EB">
        <w:t>,</w:t>
      </w:r>
      <w:r w:rsidR="005E66F2">
        <w:t xml:space="preserve"> a size related factor</w:t>
      </w:r>
      <w:r w:rsidR="00707D7B">
        <w:t>, is also considered</w:t>
      </w:r>
      <w:r w:rsidR="005E66F2">
        <w:t>.</w:t>
      </w:r>
      <w:r>
        <w:t xml:space="preserve"> </w:t>
      </w:r>
    </w:p>
    <w:p w:rsidR="00FE7ECB" w:rsidRPr="001272BC" w:rsidRDefault="00707D7B" w:rsidP="001C5112">
      <w:pPr>
        <w:pStyle w:val="BodyText"/>
        <w:spacing w:line="480" w:lineRule="auto"/>
        <w:ind w:firstLine="720"/>
        <w:jc w:val="both"/>
      </w:pPr>
      <w:r>
        <w:t>L</w:t>
      </w:r>
      <w:r w:rsidR="00FE7ECB" w:rsidRPr="001272BC">
        <w:t xml:space="preserve">iquidity is the ability to change an asset to cash or a cash-equivalent. We expect liquidity </w:t>
      </w:r>
      <w:r>
        <w:t xml:space="preserve">problems </w:t>
      </w:r>
      <w:r w:rsidR="00FE7ECB" w:rsidRPr="001272BC">
        <w:t>to be negatively related to firm performance and growth.</w:t>
      </w:r>
      <w:r w:rsidR="00894E76">
        <w:t xml:space="preserve"> </w:t>
      </w:r>
      <w:r w:rsidR="00FE7ECB" w:rsidRPr="001272BC">
        <w:t>Cash and cash-like (marketable) securities comprise a firm’s liquid assets and increases in these values are associated with financial distress (John 1993).</w:t>
      </w:r>
      <w:r w:rsidR="00516FAE">
        <w:t xml:space="preserve"> </w:t>
      </w:r>
      <w:r w:rsidR="00FE7ECB" w:rsidRPr="001272BC">
        <w:t xml:space="preserve"> Financial distress typically occurs when there is a mismatch between the need for and availability of cash. It is reasonable to expect a U-shaped performance and liquidity relationship because the cost of the mismatch is symmetrical.</w:t>
      </w:r>
      <w:r w:rsidR="00516FAE">
        <w:t xml:space="preserve"> </w:t>
      </w:r>
      <w:r w:rsidR="00FE7ECB" w:rsidRPr="001272BC">
        <w:t>If the firm has too little cash available, it must fund the shortfall through borrowing. This cost can be high if the cash shortfall was not anticipated. On the other hand, the opportunity cost of having too much cash on hand affects firm performance and the market’s evaluation of managerial quality.</w:t>
      </w:r>
    </w:p>
    <w:p w:rsidR="00FE7ECB" w:rsidRDefault="00FE7ECB" w:rsidP="00FE7ECB">
      <w:pPr>
        <w:pStyle w:val="Default"/>
        <w:spacing w:line="480" w:lineRule="auto"/>
        <w:ind w:firstLine="720"/>
        <w:jc w:val="both"/>
        <w:rPr>
          <w:color w:val="auto"/>
        </w:rPr>
      </w:pPr>
      <w:r w:rsidRPr="001272BC">
        <w:rPr>
          <w:color w:val="auto"/>
        </w:rPr>
        <w:t xml:space="preserve">It is common to measure liquidity by the ratio of cash flow to the replacement cost of capital. The replacement cost of capital is approximated by the market value of the firm. We follow Cho (1998) and others </w:t>
      </w:r>
      <w:r w:rsidR="00E37BCC">
        <w:rPr>
          <w:color w:val="auto"/>
        </w:rPr>
        <w:t>by measuring liquidity as the</w:t>
      </w:r>
      <w:r w:rsidRPr="001272BC">
        <w:rPr>
          <w:color w:val="auto"/>
        </w:rPr>
        <w:t xml:space="preserve"> ratio of operating cash flow to the </w:t>
      </w:r>
      <w:r w:rsidRPr="001272BC">
        <w:rPr>
          <w:color w:val="auto"/>
        </w:rPr>
        <w:lastRenderedPageBreak/>
        <w:t>firm’s market value.</w:t>
      </w:r>
      <w:r w:rsidR="00516FAE">
        <w:rPr>
          <w:color w:val="auto"/>
        </w:rPr>
        <w:t xml:space="preserve"> </w:t>
      </w:r>
      <w:r w:rsidR="001139EB">
        <w:rPr>
          <w:color w:val="auto"/>
        </w:rPr>
        <w:t>To identify extreme effects of the hypothesized relationship, we create a dummy variable set to one for low and high liquidity ratio values (less than 0</w:t>
      </w:r>
      <w:r w:rsidR="00894E76">
        <w:rPr>
          <w:color w:val="auto"/>
        </w:rPr>
        <w:t>%</w:t>
      </w:r>
      <w:r w:rsidR="001139EB">
        <w:rPr>
          <w:color w:val="auto"/>
        </w:rPr>
        <w:t xml:space="preserve"> or greater than </w:t>
      </w:r>
      <w:r w:rsidR="00894E76">
        <w:rPr>
          <w:color w:val="auto"/>
        </w:rPr>
        <w:t>55%</w:t>
      </w:r>
      <w:r w:rsidR="001139EB">
        <w:rPr>
          <w:color w:val="auto"/>
        </w:rPr>
        <w:t>).</w:t>
      </w:r>
      <w:r w:rsidR="00894E76">
        <w:rPr>
          <w:rStyle w:val="FootnoteReference"/>
          <w:color w:val="auto"/>
        </w:rPr>
        <w:footnoteReference w:id="21"/>
      </w:r>
      <w:r w:rsidR="001139EB">
        <w:rPr>
          <w:color w:val="auto"/>
        </w:rPr>
        <w:t xml:space="preserve"> We expect a negative relationship between this dummy</w:t>
      </w:r>
      <w:r w:rsidR="00912F12">
        <w:rPr>
          <w:color w:val="auto"/>
        </w:rPr>
        <w:t xml:space="preserve"> variable</w:t>
      </w:r>
      <w:r w:rsidR="001139EB">
        <w:rPr>
          <w:color w:val="auto"/>
        </w:rPr>
        <w:t xml:space="preserve"> and firm performance.</w:t>
      </w:r>
    </w:p>
    <w:p w:rsidR="00986A6F" w:rsidRDefault="00806F23" w:rsidP="00B82F68">
      <w:pPr>
        <w:pStyle w:val="Default"/>
        <w:spacing w:line="480" w:lineRule="auto"/>
        <w:ind w:firstLine="720"/>
        <w:jc w:val="both"/>
      </w:pPr>
      <w:r w:rsidRPr="001272BC">
        <w:rPr>
          <w:bCs/>
          <w:color w:val="auto"/>
        </w:rPr>
        <w:t>When considering corporate performance, the risk-return tradeoff suggests that</w:t>
      </w:r>
      <w:r w:rsidR="00912F12">
        <w:rPr>
          <w:bCs/>
          <w:color w:val="auto"/>
        </w:rPr>
        <w:t>,</w:t>
      </w:r>
      <w:r w:rsidRPr="001272BC">
        <w:rPr>
          <w:bCs/>
          <w:color w:val="auto"/>
        </w:rPr>
        <w:t xml:space="preserve"> on average over time or on average across a cohort of firms</w:t>
      </w:r>
      <w:r w:rsidR="00912F12">
        <w:rPr>
          <w:bCs/>
          <w:color w:val="auto"/>
        </w:rPr>
        <w:t>,</w:t>
      </w:r>
      <w:r w:rsidRPr="001272BC">
        <w:rPr>
          <w:bCs/>
          <w:color w:val="auto"/>
        </w:rPr>
        <w:t xml:space="preserve"> </w:t>
      </w:r>
      <w:r w:rsidR="00707D7B" w:rsidRPr="001272BC">
        <w:rPr>
          <w:bCs/>
          <w:color w:val="auto"/>
        </w:rPr>
        <w:t>investors</w:t>
      </w:r>
      <w:r w:rsidR="00E37BCC">
        <w:rPr>
          <w:bCs/>
          <w:color w:val="auto"/>
        </w:rPr>
        <w:t xml:space="preserve"> require</w:t>
      </w:r>
      <w:r w:rsidR="00707D7B">
        <w:rPr>
          <w:bCs/>
          <w:color w:val="auto"/>
        </w:rPr>
        <w:t xml:space="preserve"> and</w:t>
      </w:r>
      <w:r w:rsidRPr="001272BC">
        <w:rPr>
          <w:bCs/>
          <w:color w:val="auto"/>
        </w:rPr>
        <w:t xml:space="preserve"> will earn</w:t>
      </w:r>
      <w:r w:rsidR="00E37BCC">
        <w:rPr>
          <w:bCs/>
          <w:color w:val="auto"/>
        </w:rPr>
        <w:t xml:space="preserve"> higher returns for</w:t>
      </w:r>
      <w:r w:rsidRPr="001272BC">
        <w:rPr>
          <w:bCs/>
          <w:color w:val="auto"/>
        </w:rPr>
        <w:t xml:space="preserve"> firm</w:t>
      </w:r>
      <w:r w:rsidR="00E37BCC">
        <w:rPr>
          <w:bCs/>
          <w:color w:val="auto"/>
        </w:rPr>
        <w:t>s</w:t>
      </w:r>
      <w:r w:rsidR="00707D7B">
        <w:rPr>
          <w:bCs/>
          <w:color w:val="auto"/>
        </w:rPr>
        <w:t xml:space="preserve"> that take</w:t>
      </w:r>
      <w:r w:rsidRPr="001272BC">
        <w:rPr>
          <w:bCs/>
          <w:color w:val="auto"/>
        </w:rPr>
        <w:t xml:space="preserve"> on higher levels of operational risk. However, measuring operational risk is a challenge.</w:t>
      </w:r>
      <w:r w:rsidRPr="001272BC">
        <w:rPr>
          <w:color w:val="auto"/>
        </w:rPr>
        <w:t xml:space="preserve"> </w:t>
      </w:r>
      <w:r w:rsidR="00707D7B">
        <w:t>One of t</w:t>
      </w:r>
      <w:r w:rsidRPr="001272BC">
        <w:t>he mo</w:t>
      </w:r>
      <w:r w:rsidR="00707D7B">
        <w:t>re</w:t>
      </w:r>
      <w:r w:rsidRPr="001272BC">
        <w:t xml:space="preserve"> common </w:t>
      </w:r>
      <w:r w:rsidR="00707D7B">
        <w:t>operating</w:t>
      </w:r>
      <w:r w:rsidRPr="001272BC">
        <w:t xml:space="preserve"> risk</w:t>
      </w:r>
      <w:r w:rsidR="00707D7B">
        <w:t>s</w:t>
      </w:r>
      <w:r w:rsidRPr="001272BC">
        <w:t xml:space="preserve"> for insurance companies is contingent liquidity risk</w:t>
      </w:r>
      <w:r w:rsidR="00E37BCC">
        <w:t>:</w:t>
      </w:r>
      <w:r w:rsidRPr="001272BC">
        <w:t xml:space="preserve"> the risk associated with finding additional funds to replace maturing liabilities under potentially poor future market conditions. </w:t>
      </w:r>
      <w:r w:rsidR="00E37BCC">
        <w:t>We thus adopt a measure of risk which increases in value for firms with greater uncertainty surrounding the generation of cash</w:t>
      </w:r>
      <w:r w:rsidR="00912F12">
        <w:t xml:space="preserve"> – specifically the </w:t>
      </w:r>
      <w:r w:rsidR="00E37BCC" w:rsidRPr="001272BC">
        <w:t>coefficient of variation</w:t>
      </w:r>
      <w:r w:rsidR="00E37BCC">
        <w:t xml:space="preserve"> (</w:t>
      </w:r>
      <w:r w:rsidR="00912F12">
        <w:t>CV</w:t>
      </w:r>
      <w:r w:rsidR="00E37BCC">
        <w:t>)</w:t>
      </w:r>
      <w:r w:rsidRPr="001272BC">
        <w:t xml:space="preserve"> of </w:t>
      </w:r>
      <w:r w:rsidR="008D1CEE">
        <w:t>quarterly</w:t>
      </w:r>
      <w:r w:rsidR="00E37BCC">
        <w:t xml:space="preserve"> operating</w:t>
      </w:r>
      <w:r w:rsidR="008D1CEE">
        <w:t xml:space="preserve"> </w:t>
      </w:r>
      <w:r w:rsidRPr="001272BC">
        <w:t xml:space="preserve">cash flows. </w:t>
      </w:r>
      <w:r>
        <w:t xml:space="preserve">With no significant difference in </w:t>
      </w:r>
      <w:r w:rsidR="00707D7B">
        <w:t xml:space="preserve">performance study </w:t>
      </w:r>
      <w:r>
        <w:t xml:space="preserve">results, we consider the coefficient of variation over </w:t>
      </w:r>
      <w:r w:rsidR="00E37BCC">
        <w:t xml:space="preserve">a </w:t>
      </w:r>
      <w:r>
        <w:t>one-year period. Because the mean</w:t>
      </w:r>
      <w:r w:rsidR="001C2DAB">
        <w:t xml:space="preserve"> value</w:t>
      </w:r>
      <w:r>
        <w:t xml:space="preserve"> of the </w:t>
      </w:r>
      <w:r w:rsidR="00E37BCC">
        <w:t xml:space="preserve">cash flows </w:t>
      </w:r>
      <w:r>
        <w:t>can be negative, we take the absolute val</w:t>
      </w:r>
      <w:r w:rsidR="008D1CEE">
        <w:t>u</w:t>
      </w:r>
      <w:r>
        <w:t>e of the ratio – a high</w:t>
      </w:r>
      <w:r w:rsidR="008D1CEE">
        <w:t>er</w:t>
      </w:r>
      <w:r>
        <w:t xml:space="preserve"> </w:t>
      </w:r>
      <w:r w:rsidR="008D1CEE">
        <w:t>value</w:t>
      </w:r>
      <w:r>
        <w:t xml:space="preserve"> implies higher risk than values closer to </w:t>
      </w:r>
      <w:r w:rsidR="00E37BCC">
        <w:t>zero</w:t>
      </w:r>
      <w:r>
        <w:t>.</w:t>
      </w:r>
      <w:r w:rsidR="00912F12">
        <w:rPr>
          <w:rStyle w:val="FootnoteReference"/>
        </w:rPr>
        <w:footnoteReference w:id="22"/>
      </w:r>
    </w:p>
    <w:p w:rsidR="0073344D" w:rsidRDefault="00FE7ECB" w:rsidP="0073344D">
      <w:pPr>
        <w:pStyle w:val="Default"/>
        <w:spacing w:line="480" w:lineRule="auto"/>
        <w:ind w:firstLine="720"/>
        <w:jc w:val="both"/>
      </w:pPr>
      <w:r w:rsidRPr="001272BC">
        <w:rPr>
          <w:color w:val="auto"/>
        </w:rPr>
        <w:t xml:space="preserve">Studies of firm performance </w:t>
      </w:r>
      <w:r w:rsidR="0073344D">
        <w:rPr>
          <w:color w:val="auto"/>
        </w:rPr>
        <w:t xml:space="preserve">almost </w:t>
      </w:r>
      <w:r w:rsidRPr="001272BC">
        <w:rPr>
          <w:color w:val="auto"/>
        </w:rPr>
        <w:t xml:space="preserve">always include a measure of size </w:t>
      </w:r>
      <w:r w:rsidR="0073344D">
        <w:rPr>
          <w:color w:val="auto"/>
        </w:rPr>
        <w:t xml:space="preserve">to account for </w:t>
      </w:r>
      <w:r w:rsidRPr="001272BC">
        <w:rPr>
          <w:color w:val="auto"/>
        </w:rPr>
        <w:t xml:space="preserve">possible scale economies. </w:t>
      </w:r>
      <w:r w:rsidRPr="001272BC">
        <w:t xml:space="preserve">In </w:t>
      </w:r>
      <w:r>
        <w:t>addition to the scale economy argument,</w:t>
      </w:r>
      <w:r w:rsidRPr="001272BC">
        <w:t xml:space="preserve"> ownership-performance studies</w:t>
      </w:r>
      <w:r>
        <w:t xml:space="preserve"> </w:t>
      </w:r>
      <w:r w:rsidRPr="001272BC">
        <w:t xml:space="preserve">include a measure of size for a variety of reasons. </w:t>
      </w:r>
      <w:r w:rsidR="0073344D">
        <w:t>E</w:t>
      </w:r>
      <w:r w:rsidR="0073344D" w:rsidRPr="001272BC">
        <w:t xml:space="preserve">mpirical results consistently demonstrate a positive relationship between compensation levels and firm size, especially CEO compensation (confirmed for insurers by </w:t>
      </w:r>
      <w:proofErr w:type="spellStart"/>
      <w:r w:rsidR="0073344D" w:rsidRPr="001272BC">
        <w:t>Mayers</w:t>
      </w:r>
      <w:proofErr w:type="spellEnd"/>
      <w:r w:rsidR="0073344D" w:rsidRPr="001272BC">
        <w:t xml:space="preserve"> and Smith, 1992). Thus, managers may attempt to maximize firms’ size because larger firms provide higher levels of salary, power, and status </w:t>
      </w:r>
      <w:r w:rsidR="0073344D" w:rsidRPr="001272BC">
        <w:lastRenderedPageBreak/>
        <w:t>(</w:t>
      </w:r>
      <w:proofErr w:type="spellStart"/>
      <w:r w:rsidR="0073344D" w:rsidRPr="001272BC">
        <w:t>Marris</w:t>
      </w:r>
      <w:proofErr w:type="spellEnd"/>
      <w:r w:rsidR="0073344D" w:rsidRPr="001272BC">
        <w:t xml:space="preserve">, 1963; </w:t>
      </w:r>
      <w:proofErr w:type="spellStart"/>
      <w:r w:rsidR="0073344D" w:rsidRPr="001272BC">
        <w:t>Belliveau</w:t>
      </w:r>
      <w:proofErr w:type="spellEnd"/>
      <w:r w:rsidR="0073344D" w:rsidRPr="001272BC">
        <w:t xml:space="preserve"> </w:t>
      </w:r>
      <w:r w:rsidR="0073344D" w:rsidRPr="001272BC">
        <w:rPr>
          <w:i/>
        </w:rPr>
        <w:t xml:space="preserve">et al. </w:t>
      </w:r>
      <w:r w:rsidR="0073344D" w:rsidRPr="001272BC">
        <w:t>1996</w:t>
      </w:r>
      <w:r w:rsidR="0073344D">
        <w:t xml:space="preserve">; </w:t>
      </w:r>
      <w:proofErr w:type="spellStart"/>
      <w:r w:rsidR="0073344D">
        <w:t>Mayers</w:t>
      </w:r>
      <w:proofErr w:type="spellEnd"/>
      <w:r w:rsidR="0073344D">
        <w:t xml:space="preserve"> </w:t>
      </w:r>
      <w:r w:rsidR="00D2515D">
        <w:t>and</w:t>
      </w:r>
      <w:r w:rsidR="0073344D">
        <w:t xml:space="preserve"> Smith 1992</w:t>
      </w:r>
      <w:r w:rsidR="0073344D" w:rsidRPr="001272BC">
        <w:t xml:space="preserve">); or managers, as potential CEOs, maximize their human capital in hopes of winning the CEO tournament (Main </w:t>
      </w:r>
      <w:r w:rsidR="0073344D" w:rsidRPr="001272BC">
        <w:rPr>
          <w:i/>
        </w:rPr>
        <w:t xml:space="preserve">et al. </w:t>
      </w:r>
      <w:r w:rsidR="0073344D" w:rsidRPr="001272BC">
        <w:t xml:space="preserve">1993). </w:t>
      </w:r>
    </w:p>
    <w:p w:rsidR="00FE7ECB" w:rsidRPr="0073344D" w:rsidRDefault="0073344D" w:rsidP="0073344D">
      <w:pPr>
        <w:pStyle w:val="Default"/>
        <w:spacing w:line="480" w:lineRule="auto"/>
        <w:ind w:firstLine="720"/>
        <w:jc w:val="both"/>
      </w:pPr>
      <w:r>
        <w:t>R</w:t>
      </w:r>
      <w:r w:rsidR="00FE7ECB" w:rsidRPr="001272BC">
        <w:t>esearchers have used a number of different measures of size; the</w:t>
      </w:r>
      <w:r>
        <w:t xml:space="preserve">se include </w:t>
      </w:r>
      <w:r w:rsidR="00FE7ECB" w:rsidRPr="001272BC">
        <w:t>a variant of assets (</w:t>
      </w:r>
      <w:proofErr w:type="spellStart"/>
      <w:r w:rsidR="00FE7ECB" w:rsidRPr="001272BC">
        <w:t>Cubbin</w:t>
      </w:r>
      <w:proofErr w:type="spellEnd"/>
      <w:r w:rsidR="00FE7ECB" w:rsidRPr="001272BC">
        <w:t xml:space="preserve"> and Leech, 1983; </w:t>
      </w:r>
      <w:proofErr w:type="spellStart"/>
      <w:r w:rsidR="00FE7ECB" w:rsidRPr="001272BC">
        <w:t>Agrawal</w:t>
      </w:r>
      <w:proofErr w:type="spellEnd"/>
      <w:r w:rsidR="00FE7ECB" w:rsidRPr="001272BC">
        <w:t xml:space="preserve"> and </w:t>
      </w:r>
      <w:proofErr w:type="spellStart"/>
      <w:r w:rsidR="00FE7ECB" w:rsidRPr="001272BC">
        <w:t>Mandelker</w:t>
      </w:r>
      <w:proofErr w:type="spellEnd"/>
      <w:r w:rsidR="00FE7ECB" w:rsidRPr="001272BC">
        <w:t>, 1990), employment (</w:t>
      </w:r>
      <w:proofErr w:type="spellStart"/>
      <w:r w:rsidR="00FE7ECB" w:rsidRPr="001272BC">
        <w:t>Nickell</w:t>
      </w:r>
      <w:proofErr w:type="spellEnd"/>
      <w:r w:rsidR="00FE7ECB" w:rsidRPr="001272BC">
        <w:t xml:space="preserve"> </w:t>
      </w:r>
      <w:r w:rsidR="00FE7ECB" w:rsidRPr="001272BC">
        <w:rPr>
          <w:i/>
        </w:rPr>
        <w:t xml:space="preserve">et al. </w:t>
      </w:r>
      <w:r w:rsidR="00FE7ECB" w:rsidRPr="001272BC">
        <w:t>1997), and the market value of the firm’s stock (</w:t>
      </w:r>
      <w:proofErr w:type="spellStart"/>
      <w:r w:rsidR="00FE7ECB" w:rsidRPr="001272BC">
        <w:t>Agrawal</w:t>
      </w:r>
      <w:proofErr w:type="spellEnd"/>
      <w:r w:rsidR="00FE7ECB" w:rsidRPr="001272BC">
        <w:t xml:space="preserve"> </w:t>
      </w:r>
      <w:r w:rsidR="00D2515D">
        <w:t>and</w:t>
      </w:r>
      <w:r w:rsidR="00FE7ECB" w:rsidRPr="001272BC">
        <w:t xml:space="preserve"> </w:t>
      </w:r>
      <w:proofErr w:type="spellStart"/>
      <w:r w:rsidR="00FE7ECB" w:rsidRPr="001272BC">
        <w:t>Mandelker</w:t>
      </w:r>
      <w:proofErr w:type="spellEnd"/>
      <w:r w:rsidR="00FE7ECB" w:rsidRPr="001272BC">
        <w:t>, 1990). Other variables considered as measures of size by insurance researchers include the level of premiums, revenue, and loss levels</w:t>
      </w:r>
      <w:r w:rsidR="006B16E3">
        <w:t xml:space="preserve"> (</w:t>
      </w:r>
      <w:proofErr w:type="spellStart"/>
      <w:r w:rsidR="006B16E3">
        <w:t>Joskow</w:t>
      </w:r>
      <w:proofErr w:type="spellEnd"/>
      <w:r w:rsidR="006B16E3">
        <w:t xml:space="preserve"> 1973; Cummins </w:t>
      </w:r>
      <w:r w:rsidR="00D2515D">
        <w:t>and</w:t>
      </w:r>
      <w:r w:rsidR="006B16E3">
        <w:t xml:space="preserve"> Weiss</w:t>
      </w:r>
      <w:r w:rsidR="00FE7ECB" w:rsidRPr="001272BC">
        <w:t xml:space="preserve"> </w:t>
      </w:r>
      <w:r w:rsidR="006B16E3">
        <w:t>1998</w:t>
      </w:r>
      <w:r w:rsidR="00FE7ECB" w:rsidRPr="001272BC">
        <w:t xml:space="preserve">). </w:t>
      </w:r>
      <w:r w:rsidR="00FE7ECB" w:rsidRPr="001272BC">
        <w:rPr>
          <w:color w:val="auto"/>
        </w:rPr>
        <w:t>While the traditional view of economies of scale relates average total cost to the quantity of output produced</w:t>
      </w:r>
      <w:r w:rsidR="00C55CE8">
        <w:rPr>
          <w:color w:val="auto"/>
        </w:rPr>
        <w:t>,</w:t>
      </w:r>
      <w:r w:rsidR="00FE7ECB" w:rsidRPr="001272BC">
        <w:rPr>
          <w:color w:val="auto"/>
        </w:rPr>
        <w:t xml:space="preserve"> it is difficult to identify a unit of insurance activity that corresponds to a unit of physical output. Consequently, typical size measures in the insurance literature include assets, revenues, or losses incurred. </w:t>
      </w:r>
      <w:proofErr w:type="gramStart"/>
      <w:r w:rsidR="00FE7ECB" w:rsidRPr="001272BC">
        <w:rPr>
          <w:color w:val="auto"/>
        </w:rPr>
        <w:t>Arguably</w:t>
      </w:r>
      <w:proofErr w:type="gramEnd"/>
      <w:r w:rsidR="00FE7ECB" w:rsidRPr="001272BC">
        <w:rPr>
          <w:color w:val="auto"/>
        </w:rPr>
        <w:t xml:space="preserve"> the best proxy is losses under a theory that the product purchased with an insurance contract is protection agai</w:t>
      </w:r>
      <w:r w:rsidR="006B16E3">
        <w:rPr>
          <w:color w:val="auto"/>
        </w:rPr>
        <w:t>nst financial loss (Doherty 1981</w:t>
      </w:r>
      <w:r w:rsidR="00FE7ECB" w:rsidRPr="001272BC">
        <w:rPr>
          <w:color w:val="auto"/>
        </w:rPr>
        <w:t>).</w:t>
      </w:r>
      <w:r w:rsidR="00516FAE">
        <w:rPr>
          <w:color w:val="auto"/>
        </w:rPr>
        <w:t xml:space="preserve"> </w:t>
      </w:r>
      <w:r w:rsidR="00FE7ECB" w:rsidRPr="001272BC">
        <w:rPr>
          <w:color w:val="auto"/>
        </w:rPr>
        <w:t xml:space="preserve">Information on losses incurred during a year is a reporting requirement on insurance regulation forms, which limit reporting to losses incurred in the United States. The information is not commonly reported on </w:t>
      </w:r>
      <w:r w:rsidR="009668F7" w:rsidRPr="001272BC">
        <w:rPr>
          <w:color w:val="auto"/>
        </w:rPr>
        <w:t xml:space="preserve">forms </w:t>
      </w:r>
      <w:r w:rsidR="00FE7ECB" w:rsidRPr="001272BC">
        <w:rPr>
          <w:color w:val="auto"/>
        </w:rPr>
        <w:t xml:space="preserve">required </w:t>
      </w:r>
      <w:r w:rsidR="009668F7">
        <w:rPr>
          <w:color w:val="auto"/>
        </w:rPr>
        <w:t xml:space="preserve">by </w:t>
      </w:r>
      <w:r w:rsidR="001C2DAB">
        <w:rPr>
          <w:color w:val="auto"/>
        </w:rPr>
        <w:t xml:space="preserve">the </w:t>
      </w:r>
      <w:r w:rsidR="00FE7ECB" w:rsidRPr="001272BC">
        <w:rPr>
          <w:color w:val="auto"/>
        </w:rPr>
        <w:t>SEC, which report worldwide firm information. Because many larger insurance holding companies operate outside the US, using</w:t>
      </w:r>
      <w:r w:rsidR="001F7266">
        <w:rPr>
          <w:color w:val="auto"/>
        </w:rPr>
        <w:t xml:space="preserve"> statutory</w:t>
      </w:r>
      <w:r w:rsidR="00FE7ECB" w:rsidRPr="001272BC">
        <w:rPr>
          <w:color w:val="auto"/>
        </w:rPr>
        <w:t xml:space="preserve"> data from the NAIC </w:t>
      </w:r>
      <w:r w:rsidR="001F7266" w:rsidRPr="001272BC">
        <w:rPr>
          <w:color w:val="auto"/>
        </w:rPr>
        <w:t>report</w:t>
      </w:r>
      <w:r w:rsidR="001F7266">
        <w:rPr>
          <w:color w:val="auto"/>
        </w:rPr>
        <w:t>s</w:t>
      </w:r>
      <w:r w:rsidR="001F7266" w:rsidRPr="001272BC">
        <w:rPr>
          <w:color w:val="auto"/>
        </w:rPr>
        <w:t xml:space="preserve"> </w:t>
      </w:r>
      <w:r w:rsidR="00FE7ECB" w:rsidRPr="001272BC">
        <w:rPr>
          <w:color w:val="auto"/>
        </w:rPr>
        <w:t xml:space="preserve">is inaccurate as a measure of size. We follow Cummins and </w:t>
      </w:r>
      <w:proofErr w:type="spellStart"/>
      <w:r w:rsidR="00FE7ECB" w:rsidRPr="001272BC">
        <w:rPr>
          <w:color w:val="auto"/>
        </w:rPr>
        <w:t>Xie</w:t>
      </w:r>
      <w:proofErr w:type="spellEnd"/>
      <w:r w:rsidR="00FE7ECB" w:rsidRPr="001272BC">
        <w:rPr>
          <w:color w:val="auto"/>
        </w:rPr>
        <w:t xml:space="preserve"> (2013) </w:t>
      </w:r>
      <w:r w:rsidR="00C55CE8">
        <w:rPr>
          <w:color w:val="auto"/>
        </w:rPr>
        <w:t>and measure size as</w:t>
      </w:r>
      <w:r w:rsidR="00FE7ECB" w:rsidRPr="001272BC">
        <w:rPr>
          <w:color w:val="auto"/>
        </w:rPr>
        <w:t xml:space="preserve"> the </w:t>
      </w:r>
      <w:r w:rsidR="00C55CE8">
        <w:rPr>
          <w:color w:val="auto"/>
        </w:rPr>
        <w:t xml:space="preserve">natural </w:t>
      </w:r>
      <w:r w:rsidR="00FE7ECB" w:rsidRPr="001272BC">
        <w:rPr>
          <w:color w:val="auto"/>
        </w:rPr>
        <w:t>log</w:t>
      </w:r>
      <w:r w:rsidR="00292653">
        <w:rPr>
          <w:color w:val="auto"/>
        </w:rPr>
        <w:t>arithm</w:t>
      </w:r>
      <w:r w:rsidR="004F3605">
        <w:rPr>
          <w:color w:val="auto"/>
        </w:rPr>
        <w:t>ic</w:t>
      </w:r>
      <w:r w:rsidR="00292653">
        <w:rPr>
          <w:color w:val="auto"/>
        </w:rPr>
        <w:t xml:space="preserve"> value</w:t>
      </w:r>
      <w:r w:rsidR="00FE7ECB" w:rsidRPr="001272BC">
        <w:rPr>
          <w:color w:val="auto"/>
        </w:rPr>
        <w:t xml:space="preserve"> of assets</w:t>
      </w:r>
      <w:r w:rsidR="00C55CE8">
        <w:rPr>
          <w:color w:val="auto"/>
        </w:rPr>
        <w:t>.</w:t>
      </w:r>
    </w:p>
    <w:p w:rsidR="00FE7ECB" w:rsidRPr="000F1845" w:rsidRDefault="0073344D" w:rsidP="00FE7ECB">
      <w:pPr>
        <w:pStyle w:val="Default"/>
        <w:spacing w:line="480" w:lineRule="auto"/>
        <w:ind w:firstLine="720"/>
        <w:jc w:val="both"/>
        <w:rPr>
          <w:color w:val="auto"/>
        </w:rPr>
      </w:pPr>
      <w:r>
        <w:rPr>
          <w:color w:val="auto"/>
        </w:rPr>
        <w:t>A size related issue recently considered in the insurance literature is corporate</w:t>
      </w:r>
      <w:r w:rsidR="00FE7ECB" w:rsidRPr="001272BC">
        <w:rPr>
          <w:color w:val="auto"/>
        </w:rPr>
        <w:t xml:space="preserve"> diversification</w:t>
      </w:r>
      <w:r>
        <w:rPr>
          <w:color w:val="auto"/>
        </w:rPr>
        <w:t xml:space="preserve"> (or focus)</w:t>
      </w:r>
      <w:r w:rsidR="00FE7ECB" w:rsidRPr="001272BC">
        <w:rPr>
          <w:color w:val="auto"/>
        </w:rPr>
        <w:t xml:space="preserve">. </w:t>
      </w:r>
      <w:r>
        <w:rPr>
          <w:color w:val="auto"/>
        </w:rPr>
        <w:t>Larger firms are more likely to be diversified than are smaller firms.</w:t>
      </w:r>
      <w:r w:rsidR="00FE7ECB" w:rsidRPr="001272BC">
        <w:rPr>
          <w:color w:val="auto"/>
        </w:rPr>
        <w:t xml:space="preserve"> </w:t>
      </w:r>
      <w:r>
        <w:rPr>
          <w:color w:val="auto"/>
        </w:rPr>
        <w:t>E</w:t>
      </w:r>
      <w:r w:rsidR="00FE7ECB" w:rsidRPr="001272BC">
        <w:rPr>
          <w:color w:val="auto"/>
        </w:rPr>
        <w:t xml:space="preserve">vidence suggests that diversification may have more to do with </w:t>
      </w:r>
      <w:r>
        <w:rPr>
          <w:color w:val="auto"/>
        </w:rPr>
        <w:t xml:space="preserve">enhancing </w:t>
      </w:r>
      <w:r w:rsidR="00FE7ECB" w:rsidRPr="001272BC">
        <w:rPr>
          <w:color w:val="auto"/>
        </w:rPr>
        <w:t xml:space="preserve">managerial status and compensation </w:t>
      </w:r>
      <w:r>
        <w:rPr>
          <w:color w:val="auto"/>
        </w:rPr>
        <w:t xml:space="preserve">rather </w:t>
      </w:r>
      <w:r w:rsidR="00FE7ECB" w:rsidRPr="001272BC">
        <w:rPr>
          <w:color w:val="auto"/>
        </w:rPr>
        <w:t>than firm performance (Denis</w:t>
      </w:r>
      <w:r w:rsidR="006B16E3" w:rsidRPr="006B16E3">
        <w:rPr>
          <w:i/>
          <w:color w:val="auto"/>
        </w:rPr>
        <w:t xml:space="preserve"> </w:t>
      </w:r>
      <w:r w:rsidR="006B16E3" w:rsidRPr="00AA64CC">
        <w:rPr>
          <w:i/>
          <w:color w:val="auto"/>
        </w:rPr>
        <w:t>et al.</w:t>
      </w:r>
      <w:r w:rsidR="006B16E3">
        <w:rPr>
          <w:i/>
          <w:color w:val="auto"/>
        </w:rPr>
        <w:t xml:space="preserve"> </w:t>
      </w:r>
      <w:r w:rsidR="00FE7ECB" w:rsidRPr="001272BC">
        <w:rPr>
          <w:color w:val="auto"/>
        </w:rPr>
        <w:t>1997).</w:t>
      </w:r>
      <w:r w:rsidR="00516FAE">
        <w:rPr>
          <w:color w:val="auto"/>
        </w:rPr>
        <w:t xml:space="preserve"> </w:t>
      </w:r>
      <w:r w:rsidR="00FE7ECB" w:rsidRPr="001272BC">
        <w:rPr>
          <w:color w:val="auto"/>
        </w:rPr>
        <w:t xml:space="preserve">Consistent with Denis </w:t>
      </w:r>
      <w:r w:rsidR="006B16E3" w:rsidRPr="00AA64CC">
        <w:rPr>
          <w:i/>
          <w:color w:val="auto"/>
        </w:rPr>
        <w:t>et al.</w:t>
      </w:r>
      <w:r w:rsidR="00FE7ECB" w:rsidRPr="001272BC">
        <w:rPr>
          <w:color w:val="auto"/>
        </w:rPr>
        <w:t xml:space="preserve">, the literature rarely reports that firm diversification offers a net benefit: “Tobin's </w:t>
      </w:r>
      <w:r w:rsidR="00FE7ECB" w:rsidRPr="001C2DAB">
        <w:rPr>
          <w:i/>
          <w:color w:val="auto"/>
        </w:rPr>
        <w:t>q</w:t>
      </w:r>
      <w:r w:rsidR="00FE7ECB" w:rsidRPr="001272BC">
        <w:rPr>
          <w:color w:val="auto"/>
        </w:rPr>
        <w:t xml:space="preserve"> and firm </w:t>
      </w:r>
      <w:r w:rsidR="00FE7ECB" w:rsidRPr="001272BC">
        <w:rPr>
          <w:color w:val="auto"/>
        </w:rPr>
        <w:lastRenderedPageBreak/>
        <w:t xml:space="preserve">diversification are negatively related throughout the 1980s. This negative relation holds for different diversification measures and when we control for other known determinants of </w:t>
      </w:r>
      <w:r w:rsidR="00FE7ECB" w:rsidRPr="001C2DAB">
        <w:rPr>
          <w:i/>
          <w:color w:val="auto"/>
        </w:rPr>
        <w:t>q</w:t>
      </w:r>
      <w:r w:rsidR="00FE7ECB" w:rsidRPr="001272BC">
        <w:rPr>
          <w:color w:val="auto"/>
        </w:rPr>
        <w:t xml:space="preserve">. Further, diversified firms have lower </w:t>
      </w:r>
      <w:r w:rsidR="00FE7ECB" w:rsidRPr="001C2DAB">
        <w:rPr>
          <w:i/>
          <w:color w:val="auto"/>
        </w:rPr>
        <w:t>q</w:t>
      </w:r>
      <w:r w:rsidR="00BB3889">
        <w:rPr>
          <w:color w:val="auto"/>
        </w:rPr>
        <w:t xml:space="preserve"> value</w:t>
      </w:r>
      <w:r w:rsidR="00FE7ECB" w:rsidRPr="001272BC">
        <w:rPr>
          <w:color w:val="auto"/>
        </w:rPr>
        <w:t xml:space="preserve">s than comparable portfolios of pure-play firms. … We find no evidence supportive of the view that diversification provides firms with a valuable intangible asset” (Lang and </w:t>
      </w:r>
      <w:proofErr w:type="spellStart"/>
      <w:r w:rsidR="00FE7ECB" w:rsidRPr="001272BC">
        <w:rPr>
          <w:color w:val="auto"/>
        </w:rPr>
        <w:t>Sultz</w:t>
      </w:r>
      <w:proofErr w:type="spellEnd"/>
      <w:r w:rsidR="00FE7ECB" w:rsidRPr="001272BC">
        <w:rPr>
          <w:color w:val="auto"/>
        </w:rPr>
        <w:t xml:space="preserve">, 1993). In a study of </w:t>
      </w:r>
      <w:r w:rsidR="00C55CE8">
        <w:rPr>
          <w:color w:val="auto"/>
        </w:rPr>
        <w:t>property-casualty</w:t>
      </w:r>
      <w:r w:rsidR="00C55CE8" w:rsidRPr="001272BC">
        <w:rPr>
          <w:color w:val="auto"/>
        </w:rPr>
        <w:t xml:space="preserve"> insur</w:t>
      </w:r>
      <w:r w:rsidR="00C55CE8">
        <w:rPr>
          <w:color w:val="auto"/>
        </w:rPr>
        <w:t>ers</w:t>
      </w:r>
      <w:r w:rsidR="00FE7ECB" w:rsidRPr="001272BC">
        <w:rPr>
          <w:color w:val="auto"/>
        </w:rPr>
        <w:t>, Liebenberg and Sommer (2008) consider line-</w:t>
      </w:r>
      <w:r w:rsidR="00C55CE8">
        <w:rPr>
          <w:color w:val="auto"/>
        </w:rPr>
        <w:t>of</w:t>
      </w:r>
      <w:r w:rsidR="00FE7ECB" w:rsidRPr="001272BC">
        <w:rPr>
          <w:color w:val="auto"/>
        </w:rPr>
        <w:t>-</w:t>
      </w:r>
      <w:r w:rsidR="00C55CE8">
        <w:rPr>
          <w:color w:val="auto"/>
        </w:rPr>
        <w:t>business</w:t>
      </w:r>
      <w:r w:rsidR="00C55CE8" w:rsidRPr="001272BC">
        <w:rPr>
          <w:color w:val="auto"/>
        </w:rPr>
        <w:t xml:space="preserve"> </w:t>
      </w:r>
      <w:r w:rsidR="00FE7ECB" w:rsidRPr="001272BC">
        <w:rPr>
          <w:color w:val="auto"/>
        </w:rPr>
        <w:t>diversification and find</w:t>
      </w:r>
      <w:r w:rsidR="00C55CE8">
        <w:rPr>
          <w:color w:val="auto"/>
        </w:rPr>
        <w:t xml:space="preserve"> that</w:t>
      </w:r>
      <w:r w:rsidR="00FE7ECB" w:rsidRPr="001272BC">
        <w:rPr>
          <w:color w:val="auto"/>
        </w:rPr>
        <w:t xml:space="preserve"> more focused firms have higher performance levels.</w:t>
      </w:r>
    </w:p>
    <w:p w:rsidR="0040370F" w:rsidRPr="001272BC" w:rsidRDefault="0040370F" w:rsidP="0040370F">
      <w:pPr>
        <w:pStyle w:val="BodyText"/>
        <w:spacing w:line="480" w:lineRule="auto"/>
        <w:ind w:firstLine="720"/>
        <w:jc w:val="both"/>
      </w:pPr>
      <w:r>
        <w:t>While</w:t>
      </w:r>
      <w:r w:rsidRPr="001272BC">
        <w:t xml:space="preserve"> diversification and firm performance </w:t>
      </w:r>
      <w:r>
        <w:t>are often negatively related in financial studies, we believe the potential for a positive relationship exists</w:t>
      </w:r>
      <w:r w:rsidRPr="001272BC">
        <w:t>. First, greater diversification of business segments may indicate a larger, more complex firm. The more complex firm may also be associated with higher levels of performance. On the other hand, the</w:t>
      </w:r>
      <w:r>
        <w:t xml:space="preserve"> diversified</w:t>
      </w:r>
      <w:r w:rsidRPr="001272BC">
        <w:t xml:space="preserve"> firm may be diversified because it cannot grow further in some of the market segments in which it operates. This reduced growth potential may result in a lower value of Tobin’s </w:t>
      </w:r>
      <w:r w:rsidRPr="001C2DAB">
        <w:rPr>
          <w:i/>
        </w:rPr>
        <w:t>q</w:t>
      </w:r>
      <w:r w:rsidRPr="001272BC">
        <w:t>.</w:t>
      </w:r>
    </w:p>
    <w:p w:rsidR="00FE7ECB" w:rsidRPr="000F1845" w:rsidRDefault="001F7266" w:rsidP="00FE7ECB">
      <w:pPr>
        <w:pStyle w:val="Default"/>
        <w:spacing w:line="480" w:lineRule="auto"/>
        <w:ind w:firstLine="720"/>
        <w:jc w:val="both"/>
        <w:rPr>
          <w:color w:val="auto"/>
        </w:rPr>
      </w:pPr>
      <w:r>
        <w:rPr>
          <w:color w:val="auto"/>
        </w:rPr>
        <w:t>To measure focus</w:t>
      </w:r>
      <w:r w:rsidR="0040370F">
        <w:rPr>
          <w:color w:val="auto"/>
        </w:rPr>
        <w:t>, we use a dummy variable equal to one for focused firms (number of segments equals one) and zero for diversified firms</w:t>
      </w:r>
      <w:r>
        <w:rPr>
          <w:color w:val="auto"/>
        </w:rPr>
        <w:t xml:space="preserve"> (number of segments greater than one)</w:t>
      </w:r>
      <w:r w:rsidR="0040370F">
        <w:rPr>
          <w:color w:val="auto"/>
        </w:rPr>
        <w:t>. The use of a dummy variable eases interpretation of the results and reduces the likelihood that our variable is biased by subjective reporting rules.</w:t>
      </w:r>
      <w:r>
        <w:rPr>
          <w:rStyle w:val="FootnoteReference"/>
          <w:color w:val="auto"/>
        </w:rPr>
        <w:footnoteReference w:id="23"/>
      </w:r>
    </w:p>
    <w:p w:rsidR="003535CC" w:rsidRPr="00EB01D8" w:rsidRDefault="00815FA9" w:rsidP="00204819">
      <w:pPr>
        <w:pStyle w:val="BodyText"/>
        <w:spacing w:line="480" w:lineRule="auto"/>
        <w:jc w:val="both"/>
        <w:rPr>
          <w:b/>
          <w:smallCaps/>
        </w:rPr>
      </w:pPr>
      <w:r w:rsidRPr="00EB01D8">
        <w:rPr>
          <w:b/>
          <w:bCs/>
        </w:rPr>
        <w:t>I</w:t>
      </w:r>
      <w:r w:rsidR="00171DCB" w:rsidRPr="00EB01D8">
        <w:rPr>
          <w:b/>
          <w:bCs/>
        </w:rPr>
        <w:t>II</w:t>
      </w:r>
      <w:r w:rsidRPr="00EB01D8">
        <w:rPr>
          <w:b/>
          <w:bCs/>
        </w:rPr>
        <w:t xml:space="preserve"> </w:t>
      </w:r>
      <w:r w:rsidR="003535CC" w:rsidRPr="00EB01D8">
        <w:rPr>
          <w:b/>
          <w:smallCaps/>
        </w:rPr>
        <w:t>Empirical Results</w:t>
      </w:r>
    </w:p>
    <w:p w:rsidR="00BC48BE" w:rsidRPr="00965006" w:rsidRDefault="00BC48BE" w:rsidP="00BC48BE">
      <w:pPr>
        <w:pStyle w:val="BodyText"/>
        <w:spacing w:line="480" w:lineRule="auto"/>
        <w:ind w:firstLine="720"/>
        <w:jc w:val="both"/>
      </w:pPr>
      <w:r>
        <w:t xml:space="preserve">Based on the results of Larker </w:t>
      </w:r>
      <w:r w:rsidRPr="008166B2">
        <w:rPr>
          <w:i/>
        </w:rPr>
        <w:t>et al</w:t>
      </w:r>
      <w:r>
        <w:t xml:space="preserve">. </w:t>
      </w:r>
      <w:r w:rsidRPr="008166B2">
        <w:t>(2007)</w:t>
      </w:r>
      <w:r>
        <w:t xml:space="preserve">, we use the unrestricted form: </w:t>
      </w:r>
      <m:oMath>
        <m:sSub>
          <m:sSubPr>
            <m:ctrlPr>
              <w:rPr>
                <w:rFonts w:ascii="Cambria Math" w:hAnsi="Cambria Math"/>
                <w:i/>
              </w:rPr>
            </m:ctrlPr>
          </m:sSubPr>
          <m:e>
            <m:r>
              <w:rPr>
                <w:rFonts w:ascii="Cambria Math" w:hAnsi="Cambria Math"/>
              </w:rPr>
              <m:t>Performance</m:t>
            </m:r>
          </m:e>
          <m:sub>
            <m:r>
              <w:rPr>
                <w:rFonts w:ascii="Cambria Math" w:hAnsi="Cambria Math"/>
              </w:rPr>
              <m:t>it</m:t>
            </m:r>
          </m:sub>
        </m:sSub>
        <m:r>
          <w:rPr>
            <w:rFonts w:ascii="Cambria Math" w:hAnsi="Cambria Math"/>
          </w:rPr>
          <m:t>=f (</m:t>
        </m:r>
        <m:sSub>
          <m:sSubPr>
            <m:ctrlPr>
              <w:rPr>
                <w:rFonts w:ascii="Cambria Math" w:hAnsi="Cambria Math"/>
                <w:i/>
              </w:rPr>
            </m:ctrlPr>
          </m:sSubPr>
          <m:e>
            <m:r>
              <w:rPr>
                <w:rFonts w:ascii="Cambria Math" w:hAnsi="Cambria Math"/>
              </w:rPr>
              <m:t>Gover</m:t>
            </m:r>
            <m:r>
              <w:rPr>
                <w:rFonts w:ascii="Cambria Math" w:hAnsi="Cambria Math"/>
              </w:rPr>
              <m:t>nance Factors</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Controls</m:t>
            </m:r>
          </m:e>
          <m:sub>
            <m:r>
              <w:rPr>
                <w:rFonts w:ascii="Cambria Math" w:hAnsi="Cambria Math"/>
              </w:rPr>
              <m:t>it</m:t>
            </m:r>
          </m:sub>
        </m:sSub>
        <m:r>
          <w:rPr>
            <w:rFonts w:ascii="Cambria Math" w:hAnsi="Cambria Math"/>
          </w:rPr>
          <m:t>)</m:t>
        </m:r>
      </m:oMath>
      <w:r>
        <w:rPr>
          <w:rFonts w:eastAsiaTheme="minorEastAsia"/>
        </w:rPr>
        <w:t xml:space="preserve"> in our study; more specifically, </w:t>
      </w:r>
      <w:r w:rsidRPr="001272BC">
        <w:lastRenderedPageBreak/>
        <w:t xml:space="preserve">corporate performance is </w:t>
      </w:r>
      <w:r>
        <w:t xml:space="preserve">considered </w:t>
      </w:r>
      <w:r w:rsidRPr="001272BC">
        <w:t xml:space="preserve">a function of governance features, including </w:t>
      </w:r>
      <w:r>
        <w:t xml:space="preserve">ownership mix, </w:t>
      </w:r>
      <w:r w:rsidRPr="001272BC">
        <w:t xml:space="preserve">CEO pay, </w:t>
      </w:r>
      <w:r>
        <w:t xml:space="preserve">organizational structure, and debt, </w:t>
      </w:r>
      <w:r w:rsidRPr="001272BC">
        <w:t>and a set of control factors synthesized from the empirical literature: liquidity</w:t>
      </w:r>
      <w:r>
        <w:t>, risk, size, and diversification.</w:t>
      </w:r>
    </w:p>
    <w:p w:rsidR="003535CC" w:rsidRPr="00851254" w:rsidRDefault="00BC48BE" w:rsidP="00BC48BE">
      <w:pPr>
        <w:spacing w:line="480" w:lineRule="auto"/>
        <w:ind w:firstLine="720"/>
        <w:jc w:val="both"/>
      </w:pPr>
      <w:r w:rsidRPr="00695705">
        <w:t>Th</w:t>
      </w:r>
      <w:r>
        <w:t>e</w:t>
      </w:r>
      <w:r w:rsidRPr="00695705">
        <w:t xml:space="preserve"> sample</w:t>
      </w:r>
      <w:r w:rsidR="004D7D50">
        <w:t xml:space="preserve"> is</w:t>
      </w:r>
      <w:r>
        <w:t xml:space="preserve"> drawn from 86</w:t>
      </w:r>
      <w:r w:rsidRPr="00695705">
        <w:t xml:space="preserve"> publicly traded </w:t>
      </w:r>
      <w:r>
        <w:t xml:space="preserve">insurance </w:t>
      </w:r>
      <w:r w:rsidRPr="00695705">
        <w:t xml:space="preserve">corporations operating during the period from 2006 through 2014. The </w:t>
      </w:r>
      <w:proofErr w:type="gramStart"/>
      <w:r w:rsidRPr="00695705">
        <w:t>end point</w:t>
      </w:r>
      <w:proofErr w:type="gramEnd"/>
      <w:r w:rsidRPr="00695705">
        <w:t xml:space="preserve"> of the sample is the most recently available year; the starting point of 2006 is </w:t>
      </w:r>
      <w:r w:rsidR="00851254">
        <w:t>the year the SEC changed compensation data reporting requirements</w:t>
      </w:r>
      <w:r>
        <w:t>.</w:t>
      </w:r>
      <w:r w:rsidR="00516FAE">
        <w:t xml:space="preserve"> </w:t>
      </w:r>
      <w:r>
        <w:t xml:space="preserve">The potential sample size of 774 </w:t>
      </w:r>
      <w:r w:rsidRPr="00695705">
        <w:t>observations</w:t>
      </w:r>
      <w:r>
        <w:t xml:space="preserve"> </w:t>
      </w:r>
      <w:r w:rsidRPr="00695705">
        <w:t xml:space="preserve">is reduced to </w:t>
      </w:r>
      <w:r>
        <w:t>a final size of 702</w:t>
      </w:r>
      <w:r w:rsidRPr="00695705">
        <w:t>.</w:t>
      </w:r>
      <w:r>
        <w:t xml:space="preserve"> </w:t>
      </w:r>
      <w:r w:rsidR="00851254">
        <w:t xml:space="preserve">Table 1 provides summary statistics for all variables considered in the study as well as expected relationships between the variables and Tobin’s </w:t>
      </w:r>
      <w:r w:rsidR="00851254">
        <w:rPr>
          <w:i/>
        </w:rPr>
        <w:t>q</w:t>
      </w:r>
      <w:r w:rsidR="00851254">
        <w:t xml:space="preserve">. The mean value of </w:t>
      </w:r>
      <w:r w:rsidR="00851254">
        <w:rPr>
          <w:i/>
        </w:rPr>
        <w:t>q</w:t>
      </w:r>
      <w:r w:rsidR="00851254">
        <w:t xml:space="preserve"> is 1.159 and the median is 1.038 indicating a slightly higher market valuation than the book value of shareholders’ equity. Because the variable is slightly right-skewed, we use the natural logarithm of Tobin’s q in our regression analyses.</w:t>
      </w:r>
    </w:p>
    <w:p w:rsidR="003535CC" w:rsidRPr="001272BC" w:rsidRDefault="003535CC" w:rsidP="008B329D">
      <w:pPr>
        <w:pStyle w:val="BodyText"/>
        <w:spacing w:line="480" w:lineRule="auto"/>
        <w:jc w:val="center"/>
        <w:rPr>
          <w:b/>
        </w:rPr>
      </w:pPr>
      <w:r w:rsidRPr="001272BC">
        <w:rPr>
          <w:b/>
        </w:rPr>
        <w:t>Table 1 Here</w:t>
      </w:r>
    </w:p>
    <w:p w:rsidR="00646979" w:rsidRDefault="003C5B63" w:rsidP="003C5B63">
      <w:pPr>
        <w:pStyle w:val="BodyText"/>
        <w:spacing w:line="480" w:lineRule="auto"/>
        <w:ind w:firstLine="720"/>
        <w:jc w:val="both"/>
      </w:pPr>
      <w:r>
        <w:t xml:space="preserve">The summary statistics show that </w:t>
      </w:r>
      <w:r w:rsidR="00851254">
        <w:t xml:space="preserve">37.6 </w:t>
      </w:r>
      <w:r>
        <w:t>percent of the 702 firm-years are family controlled. A high percentage of the firm-years, 53.7 percent have a dual</w:t>
      </w:r>
      <w:r w:rsidR="001F0822">
        <w:t>ity</w:t>
      </w:r>
      <w:r>
        <w:t xml:space="preserve"> governance structure (one person is both CEO and Board Chairperson).</w:t>
      </w:r>
      <w:r w:rsidR="00851254">
        <w:t xml:space="preserve"> On average, large investors hold 22 percent of the firm’s stock. One of these </w:t>
      </w:r>
      <w:proofErr w:type="spellStart"/>
      <w:r w:rsidR="00851254">
        <w:t>blockholders</w:t>
      </w:r>
      <w:proofErr w:type="spellEnd"/>
      <w:r w:rsidR="00851254">
        <w:t>, Blackrock, owns a stake in 37.6% of our sample (although this number is much greater later in the sample period). The average firm in our sample is five percent owned by non-family directors and officers. The average (median) CEO’s current compensation is $3.7 (</w:t>
      </w:r>
      <w:r w:rsidR="001F0822">
        <w:t>$</w:t>
      </w:r>
      <w:r w:rsidR="00851254">
        <w:t>2.4) million with an average of 33.5</w:t>
      </w:r>
      <w:r w:rsidR="00646979">
        <w:t xml:space="preserve"> percent</w:t>
      </w:r>
      <w:r w:rsidR="00851254">
        <w:t xml:space="preserve"> of total compensation coming in the form of stock and options.</w:t>
      </w:r>
      <w:r w:rsidR="00646979">
        <w:t xml:space="preserve"> The average leverage value in our sample is 0.75 which indicates that average liabilities equal 75 percent of assets.</w:t>
      </w:r>
      <w:r>
        <w:t xml:space="preserve"> </w:t>
      </w:r>
    </w:p>
    <w:p w:rsidR="008E543B" w:rsidRDefault="003C5B63" w:rsidP="003C5B63">
      <w:pPr>
        <w:pStyle w:val="BodyText"/>
        <w:spacing w:line="480" w:lineRule="auto"/>
        <w:ind w:firstLine="720"/>
        <w:jc w:val="both"/>
      </w:pPr>
      <w:r>
        <w:t xml:space="preserve">Table 2 </w:t>
      </w:r>
      <w:r w:rsidR="00646979">
        <w:t xml:space="preserve">provides </w:t>
      </w:r>
      <w:r>
        <w:t>the results of</w:t>
      </w:r>
      <w:r w:rsidR="00F01DFF" w:rsidRPr="001272BC">
        <w:t xml:space="preserve"> </w:t>
      </w:r>
      <w:r>
        <w:t xml:space="preserve">mean comparison </w:t>
      </w:r>
      <w:r w:rsidR="00F01DFF" w:rsidRPr="001C2DAB">
        <w:rPr>
          <w:i/>
        </w:rPr>
        <w:t>t</w:t>
      </w:r>
      <w:r w:rsidR="00F01DFF" w:rsidRPr="001272BC">
        <w:t xml:space="preserve">-tests on the variables in our sample </w:t>
      </w:r>
      <w:r w:rsidR="00F01DFF" w:rsidRPr="001272BC">
        <w:lastRenderedPageBreak/>
        <w:t>using family</w:t>
      </w:r>
      <w:r w:rsidR="001F0822">
        <w:t xml:space="preserve"> control</w:t>
      </w:r>
      <w:r w:rsidR="00F01DFF" w:rsidRPr="001272BC">
        <w:t xml:space="preserve"> </w:t>
      </w:r>
      <w:r w:rsidR="00D93672">
        <w:t xml:space="preserve">as a grouping </w:t>
      </w:r>
      <w:r w:rsidR="00F01DFF" w:rsidRPr="001272BC">
        <w:t>variable.</w:t>
      </w:r>
      <w:r w:rsidR="00F50A66" w:rsidRPr="001272BC">
        <w:t xml:space="preserve"> </w:t>
      </w:r>
      <w:r w:rsidR="00F01DFF" w:rsidRPr="001272BC">
        <w:t xml:space="preserve">These </w:t>
      </w:r>
      <w:r w:rsidR="00F01DFF" w:rsidRPr="001C2DAB">
        <w:rPr>
          <w:i/>
        </w:rPr>
        <w:t>t</w:t>
      </w:r>
      <w:r w:rsidR="00F01DFF" w:rsidRPr="001272BC">
        <w:t xml:space="preserve">-tests provide some preliminary evidence </w:t>
      </w:r>
      <w:r w:rsidR="00B21C7A" w:rsidRPr="001272BC">
        <w:t xml:space="preserve">of </w:t>
      </w:r>
      <w:r w:rsidR="00F01DFF" w:rsidRPr="001272BC">
        <w:t>the relationships between variables in our study.</w:t>
      </w:r>
      <w:r w:rsidR="00F50A66" w:rsidRPr="001272BC">
        <w:t xml:space="preserve"> </w:t>
      </w:r>
      <w:r w:rsidR="00646979">
        <w:t xml:space="preserve">While no performance variables </w:t>
      </w:r>
      <w:r w:rsidR="001F0822">
        <w:t xml:space="preserve">exhibit </w:t>
      </w:r>
      <w:r w:rsidR="00646979">
        <w:t>a</w:t>
      </w:r>
      <w:r w:rsidR="001F0822">
        <w:t xml:space="preserve"> statistically different</w:t>
      </w:r>
      <w:r w:rsidR="00646979">
        <w:t xml:space="preserve"> mean </w:t>
      </w:r>
      <w:r w:rsidR="001F0822">
        <w:t xml:space="preserve">value </w:t>
      </w:r>
      <w:r w:rsidR="00646979">
        <w:t>between ownership type</w:t>
      </w:r>
      <w:r w:rsidR="001A75F2">
        <w:t>s</w:t>
      </w:r>
      <w:r w:rsidR="00646979">
        <w:t xml:space="preserve">, there is great variation in the governance variables. Family controlled firms have a slightly higher ownership by non-family directors and officers (5.9 versus 4.7 percent of outstanding stock). However, family firms exhibit lower levels of </w:t>
      </w:r>
      <w:proofErr w:type="spellStart"/>
      <w:r w:rsidR="00646979">
        <w:t>blockholder</w:t>
      </w:r>
      <w:proofErr w:type="spellEnd"/>
      <w:r w:rsidR="00646979">
        <w:t xml:space="preserve"> ownership and are much less likely to be owned by Blackrock (</w:t>
      </w:r>
      <w:r w:rsidR="001F0822">
        <w:t xml:space="preserve">Blackrock owns a stake in </w:t>
      </w:r>
      <w:r w:rsidR="00646979">
        <w:t xml:space="preserve">14.4 percent </w:t>
      </w:r>
      <w:r w:rsidR="001F0822">
        <w:t xml:space="preserve">of </w:t>
      </w:r>
      <w:r w:rsidR="00646979">
        <w:t>family</w:t>
      </w:r>
      <w:r w:rsidR="001F0822">
        <w:t xml:space="preserve"> firms</w:t>
      </w:r>
      <w:r w:rsidR="00646979">
        <w:t xml:space="preserve"> versus 51.6 percent </w:t>
      </w:r>
      <w:r w:rsidR="001F0822">
        <w:t xml:space="preserve">of </w:t>
      </w:r>
      <w:r w:rsidR="00646979">
        <w:t>non-family</w:t>
      </w:r>
      <w:r w:rsidR="001F0822">
        <w:t xml:space="preserve"> firms</w:t>
      </w:r>
      <w:r w:rsidR="00646979">
        <w:t>). Family firm CEO’s draw lower current compensation and a lower proportion of forward compensation, although these CEO’s may be more likely to own a stake in the firm than non-family CEO’s</w:t>
      </w:r>
      <w:r w:rsidR="001A75F2">
        <w:t>,</w:t>
      </w:r>
      <w:r w:rsidR="005327D5">
        <w:t xml:space="preserve"> which provides incentive to increase long-term firm value</w:t>
      </w:r>
      <w:r w:rsidR="00646979">
        <w:t>. Family firms also have slightly lower leverage values, on average.</w:t>
      </w:r>
    </w:p>
    <w:p w:rsidR="00646979" w:rsidRPr="001272BC" w:rsidRDefault="00646979" w:rsidP="003C5B63">
      <w:pPr>
        <w:pStyle w:val="BodyText"/>
        <w:spacing w:line="480" w:lineRule="auto"/>
        <w:ind w:firstLine="720"/>
        <w:jc w:val="both"/>
      </w:pPr>
      <w:r>
        <w:t>We also see some differences in our control variables. Family firms have less liquidity than non-family firms but are more likely to be counted as “extreme” liquidity firms. Family firms are also significantly smaller than non-family firms measured by total assets.</w:t>
      </w:r>
    </w:p>
    <w:p w:rsidR="00F01DFF" w:rsidRPr="001272BC" w:rsidRDefault="00F01DFF" w:rsidP="008B329D">
      <w:pPr>
        <w:pStyle w:val="BodyText"/>
        <w:spacing w:line="480" w:lineRule="auto"/>
        <w:jc w:val="center"/>
      </w:pPr>
      <w:r w:rsidRPr="001272BC">
        <w:rPr>
          <w:b/>
        </w:rPr>
        <w:t>Table 2 Here</w:t>
      </w:r>
    </w:p>
    <w:p w:rsidR="002F550E" w:rsidRPr="001272BC" w:rsidRDefault="00CE3EC0" w:rsidP="002F550E">
      <w:pPr>
        <w:spacing w:line="480" w:lineRule="auto"/>
        <w:ind w:firstLine="720"/>
        <w:jc w:val="both"/>
        <w:rPr>
          <w:rFonts w:eastAsia="Times New Roman"/>
        </w:rPr>
      </w:pPr>
      <w:r>
        <w:rPr>
          <w:rFonts w:eastAsia="Times New Roman"/>
        </w:rPr>
        <w:t xml:space="preserve">We include a correlation matrix of all regression variables in Table 3. Only one correlation coefficient merits concern (current compensation and firm size at 63%); however regression model diagnostics show no evidence of a </w:t>
      </w:r>
      <w:proofErr w:type="spellStart"/>
      <w:r>
        <w:rPr>
          <w:rFonts w:eastAsia="Times New Roman"/>
        </w:rPr>
        <w:t>multicollinearity</w:t>
      </w:r>
      <w:proofErr w:type="spellEnd"/>
      <w:r>
        <w:rPr>
          <w:rFonts w:eastAsia="Times New Roman"/>
        </w:rPr>
        <w:t xml:space="preserve"> problem.</w:t>
      </w:r>
      <w:r w:rsidRPr="001272BC">
        <w:rPr>
          <w:rStyle w:val="FootnoteReference"/>
        </w:rPr>
        <w:footnoteReference w:id="24"/>
      </w:r>
      <w:r>
        <w:rPr>
          <w:rFonts w:eastAsia="Times New Roman"/>
        </w:rPr>
        <w:t xml:space="preserve"> We see some evidence of a negative relationship between Tobin’s </w:t>
      </w:r>
      <w:r>
        <w:rPr>
          <w:rFonts w:eastAsia="Times New Roman"/>
          <w:i/>
        </w:rPr>
        <w:t xml:space="preserve">q </w:t>
      </w:r>
      <w:r>
        <w:rPr>
          <w:rFonts w:eastAsia="Times New Roman"/>
        </w:rPr>
        <w:t xml:space="preserve">and our extreme liquidity variable, but other correlation coefficients tend to be small (&lt;20%). </w:t>
      </w:r>
      <w:r w:rsidRPr="00CE3EC0">
        <w:rPr>
          <w:rFonts w:eastAsia="Times New Roman"/>
        </w:rPr>
        <w:t>The</w:t>
      </w:r>
      <w:r>
        <w:rPr>
          <w:rFonts w:eastAsia="Times New Roman"/>
        </w:rPr>
        <w:t xml:space="preserve"> family correlation coefficients reiterate some of the prior results: family controlled firms are associated with less </w:t>
      </w:r>
      <w:proofErr w:type="spellStart"/>
      <w:r>
        <w:rPr>
          <w:rFonts w:eastAsia="Times New Roman"/>
        </w:rPr>
        <w:t>blockholder</w:t>
      </w:r>
      <w:proofErr w:type="spellEnd"/>
      <w:r>
        <w:rPr>
          <w:rFonts w:eastAsia="Times New Roman"/>
        </w:rPr>
        <w:t xml:space="preserve"> ownership, lower compensation, less leverage and liquidity, and tend to be smaller.</w:t>
      </w:r>
    </w:p>
    <w:p w:rsidR="002F550E" w:rsidRPr="002F550E" w:rsidRDefault="002F550E" w:rsidP="002F550E">
      <w:pPr>
        <w:pStyle w:val="BodyText"/>
        <w:spacing w:line="480" w:lineRule="auto"/>
        <w:jc w:val="center"/>
        <w:rPr>
          <w:b/>
        </w:rPr>
      </w:pPr>
      <w:r w:rsidRPr="001272BC">
        <w:rPr>
          <w:b/>
        </w:rPr>
        <w:lastRenderedPageBreak/>
        <w:t>Table 3 Here</w:t>
      </w:r>
    </w:p>
    <w:p w:rsidR="00DA6750" w:rsidRPr="00722AE3" w:rsidRDefault="00DA6750" w:rsidP="00DA6750">
      <w:pPr>
        <w:pStyle w:val="Default"/>
        <w:keepNext/>
        <w:spacing w:line="480" w:lineRule="auto"/>
        <w:rPr>
          <w:color w:val="auto"/>
        </w:rPr>
      </w:pPr>
      <w:r w:rsidRPr="00FE7ECB">
        <w:rPr>
          <w:bCs/>
          <w:smallCaps/>
          <w:color w:val="auto"/>
        </w:rPr>
        <w:t>I</w:t>
      </w:r>
      <w:r>
        <w:rPr>
          <w:bCs/>
          <w:smallCaps/>
          <w:color w:val="auto"/>
        </w:rPr>
        <w:t>I</w:t>
      </w:r>
      <w:r w:rsidRPr="00FE7ECB">
        <w:rPr>
          <w:bCs/>
          <w:smallCaps/>
          <w:color w:val="auto"/>
        </w:rPr>
        <w:t>I.</w:t>
      </w:r>
      <w:r>
        <w:rPr>
          <w:bCs/>
          <w:smallCaps/>
          <w:color w:val="auto"/>
        </w:rPr>
        <w:t>1</w:t>
      </w:r>
      <w:r w:rsidRPr="00FE7ECB">
        <w:rPr>
          <w:bCs/>
          <w:smallCaps/>
          <w:color w:val="auto"/>
        </w:rPr>
        <w:t xml:space="preserve"> </w:t>
      </w:r>
      <w:r>
        <w:rPr>
          <w:bCs/>
          <w:smallCaps/>
          <w:color w:val="auto"/>
        </w:rPr>
        <w:t>Multivariate Analysis</w:t>
      </w:r>
    </w:p>
    <w:p w:rsidR="002F550E" w:rsidRDefault="00CE3EC0" w:rsidP="002F550E">
      <w:pPr>
        <w:pStyle w:val="BodyText"/>
        <w:spacing w:line="480" w:lineRule="auto"/>
        <w:ind w:firstLine="720"/>
        <w:jc w:val="both"/>
      </w:pPr>
      <w:r>
        <w:t xml:space="preserve">In our regression analyses, we consider six potential model specifications. The first model </w:t>
      </w:r>
      <w:proofErr w:type="gramStart"/>
      <w:r>
        <w:t>regresses</w:t>
      </w:r>
      <w:proofErr w:type="gramEnd"/>
      <w:r>
        <w:t xml:space="preserve"> Tobin’s </w:t>
      </w:r>
      <w:r w:rsidRPr="00CE3EC0">
        <w:rPr>
          <w:i/>
        </w:rPr>
        <w:t>q</w:t>
      </w:r>
      <w:r>
        <w:t xml:space="preserve"> against all of our governance and control variables. The second model removes the current compensation and liquidity variables to reduce the likelihood of </w:t>
      </w:r>
      <w:proofErr w:type="spellStart"/>
      <w:r>
        <w:t>multicollinearity</w:t>
      </w:r>
      <w:proofErr w:type="spellEnd"/>
      <w:r>
        <w:t xml:space="preserve"> influencing our results. Models three and four perform the same tests but remove all observations in which the firm is owned by a mutual parent. Models five and six perform the same tests but remove all family firms (and thus the family variables). </w:t>
      </w:r>
      <w:r w:rsidR="002F550E" w:rsidRPr="00CE3EC0">
        <w:t>White’s</w:t>
      </w:r>
      <w:r w:rsidR="002F550E" w:rsidRPr="001272BC">
        <w:t xml:space="preserve"> test without cross terms is used to confirm the absence of </w:t>
      </w:r>
      <w:proofErr w:type="spellStart"/>
      <w:r w:rsidR="002F550E" w:rsidRPr="001272BC">
        <w:t>heteroscedasticity</w:t>
      </w:r>
      <w:proofErr w:type="spellEnd"/>
      <w:r w:rsidR="002F550E" w:rsidRPr="001272BC">
        <w:t xml:space="preserve">. We report regression results with </w:t>
      </w:r>
      <w:proofErr w:type="spellStart"/>
      <w:r w:rsidR="002F550E" w:rsidRPr="001272BC">
        <w:t>heteroscedasticity</w:t>
      </w:r>
      <w:proofErr w:type="spellEnd"/>
      <w:r w:rsidR="002F550E" w:rsidRPr="001272BC">
        <w:t>-consistent (White’s) standard errors</w:t>
      </w:r>
      <w:r w:rsidR="0060335C">
        <w:t>.</w:t>
      </w:r>
      <w:r w:rsidR="00405B2C">
        <w:t xml:space="preserve"> We include year fixed effects as an additional control (firm fixed effects are excluded because some governance variables are mostly time-invariant).</w:t>
      </w:r>
    </w:p>
    <w:p w:rsidR="006F47AB" w:rsidRPr="00012EC1" w:rsidRDefault="006F47AB" w:rsidP="006F47AB">
      <w:pPr>
        <w:pStyle w:val="BodyText"/>
        <w:spacing w:line="480" w:lineRule="auto"/>
        <w:jc w:val="center"/>
        <w:rPr>
          <w:b/>
        </w:rPr>
      </w:pPr>
      <w:r w:rsidRPr="001272BC">
        <w:rPr>
          <w:b/>
        </w:rPr>
        <w:t>Table 4 Here</w:t>
      </w:r>
    </w:p>
    <w:p w:rsidR="000F55F1" w:rsidRPr="001272BC" w:rsidRDefault="002F550E" w:rsidP="00EB01D8">
      <w:pPr>
        <w:spacing w:line="480" w:lineRule="auto"/>
        <w:ind w:firstLine="720"/>
        <w:jc w:val="both"/>
      </w:pPr>
      <w:r>
        <w:rPr>
          <w:rFonts w:eastAsia="Times New Roman"/>
        </w:rPr>
        <w:t xml:space="preserve">Table 4 summarizes the regression results. </w:t>
      </w:r>
      <w:r w:rsidR="00197D98" w:rsidRPr="001272BC">
        <w:t xml:space="preserve">Although </w:t>
      </w:r>
      <w:proofErr w:type="spellStart"/>
      <w:r w:rsidR="00197D98" w:rsidRPr="001272BC">
        <w:t>Shleifer</w:t>
      </w:r>
      <w:proofErr w:type="spellEnd"/>
      <w:r w:rsidR="00197D98" w:rsidRPr="001272BC">
        <w:t xml:space="preserve"> and </w:t>
      </w:r>
      <w:proofErr w:type="spellStart"/>
      <w:r w:rsidR="00197D98" w:rsidRPr="001272BC">
        <w:t>Vishny</w:t>
      </w:r>
      <w:proofErr w:type="spellEnd"/>
      <w:r w:rsidR="00197D98" w:rsidRPr="001272BC">
        <w:t xml:space="preserve"> (1997) conclude that family firms have lower observed performance, consistent with Andres (2008) and others, we find a positive and significant relationship between family control and firm performance. These results provide support for our </w:t>
      </w:r>
      <w:r w:rsidR="00197D98">
        <w:t>first hypothesis</w:t>
      </w:r>
      <w:r w:rsidR="008D0033">
        <w:t xml:space="preserve"> –</w:t>
      </w:r>
      <w:r w:rsidR="00197D98" w:rsidRPr="001272BC">
        <w:t xml:space="preserve"> the results suggest that family firms behave in a manner consistent with Stewardship theory. </w:t>
      </w:r>
      <w:r w:rsidR="006F47AB">
        <w:rPr>
          <w:rFonts w:eastAsia="Times New Roman"/>
        </w:rPr>
        <w:t xml:space="preserve">The Duality variable is also significantly positively related to </w:t>
      </w:r>
      <w:r w:rsidR="006F47AB" w:rsidRPr="006F47AB">
        <w:rPr>
          <w:rFonts w:eastAsia="Times New Roman"/>
          <w:i/>
        </w:rPr>
        <w:t>q</w:t>
      </w:r>
      <w:r w:rsidR="00904837">
        <w:rPr>
          <w:rFonts w:eastAsia="Times New Roman"/>
          <w:i/>
        </w:rPr>
        <w:t xml:space="preserve">. </w:t>
      </w:r>
      <w:r w:rsidR="006F47AB">
        <w:rPr>
          <w:rFonts w:eastAsia="Times New Roman"/>
        </w:rPr>
        <w:t>We note that Duality is positive in the non-family results (Models 5 and 6) indicating that stewardship in some form is valued by investors.</w:t>
      </w:r>
      <w:r w:rsidR="00904837" w:rsidRPr="00904837">
        <w:rPr>
          <w:rFonts w:eastAsia="Times New Roman"/>
        </w:rPr>
        <w:t xml:space="preserve"> </w:t>
      </w:r>
      <w:r w:rsidR="00904837">
        <w:rPr>
          <w:rFonts w:eastAsia="Times New Roman"/>
        </w:rPr>
        <w:t>However, the interaction between Family and Duality is negative indicating some disutility from both family ownership and CEO/Chairperson control.</w:t>
      </w:r>
      <w:r w:rsidR="00197D98">
        <w:rPr>
          <w:rFonts w:eastAsia="Times New Roman"/>
        </w:rPr>
        <w:t xml:space="preserve"> </w:t>
      </w:r>
    </w:p>
    <w:p w:rsidR="00904837" w:rsidRDefault="00904837" w:rsidP="0017120C">
      <w:pPr>
        <w:spacing w:line="480" w:lineRule="auto"/>
        <w:ind w:firstLine="720"/>
        <w:jc w:val="both"/>
        <w:rPr>
          <w:rFonts w:eastAsia="Times New Roman"/>
        </w:rPr>
      </w:pPr>
      <w:r>
        <w:rPr>
          <w:rFonts w:eastAsia="Times New Roman"/>
        </w:rPr>
        <w:t xml:space="preserve">Given the family-duality interaction, our model considers four potential </w:t>
      </w:r>
      <w:r w:rsidR="00197D98">
        <w:rPr>
          <w:rFonts w:eastAsia="Times New Roman"/>
        </w:rPr>
        <w:t xml:space="preserve">control </w:t>
      </w:r>
      <w:r w:rsidR="00197D98">
        <w:rPr>
          <w:rFonts w:eastAsia="Times New Roman"/>
        </w:rPr>
        <w:lastRenderedPageBreak/>
        <w:t>structures</w:t>
      </w:r>
      <w:r>
        <w:rPr>
          <w:rFonts w:eastAsia="Times New Roman"/>
        </w:rPr>
        <w:t>: family-duality (</w:t>
      </w:r>
      <w:proofErr w:type="spellStart"/>
      <w:r>
        <w:rPr>
          <w:rFonts w:eastAsia="Times New Roman"/>
        </w:rPr>
        <w:t>FxD</w:t>
      </w:r>
      <w:proofErr w:type="spellEnd"/>
      <w:r>
        <w:rPr>
          <w:rFonts w:eastAsia="Times New Roman"/>
        </w:rPr>
        <w:t>), family-</w:t>
      </w:r>
      <w:proofErr w:type="spellStart"/>
      <w:r>
        <w:rPr>
          <w:rFonts w:eastAsia="Times New Roman"/>
        </w:rPr>
        <w:t>nonduality</w:t>
      </w:r>
      <w:proofErr w:type="spellEnd"/>
      <w:r>
        <w:rPr>
          <w:rFonts w:eastAsia="Times New Roman"/>
        </w:rPr>
        <w:t xml:space="preserve"> (</w:t>
      </w:r>
      <w:proofErr w:type="spellStart"/>
      <w:r>
        <w:rPr>
          <w:rFonts w:eastAsia="Times New Roman"/>
        </w:rPr>
        <w:t>FxND</w:t>
      </w:r>
      <w:proofErr w:type="spellEnd"/>
      <w:r>
        <w:rPr>
          <w:rFonts w:eastAsia="Times New Roman"/>
        </w:rPr>
        <w:t>), nonfamily-duality (</w:t>
      </w:r>
      <w:proofErr w:type="spellStart"/>
      <w:r>
        <w:rPr>
          <w:rFonts w:eastAsia="Times New Roman"/>
        </w:rPr>
        <w:t>NFxD</w:t>
      </w:r>
      <w:proofErr w:type="spellEnd"/>
      <w:r>
        <w:rPr>
          <w:rFonts w:eastAsia="Times New Roman"/>
        </w:rPr>
        <w:t>), and nonfamily-</w:t>
      </w:r>
      <w:proofErr w:type="spellStart"/>
      <w:r>
        <w:rPr>
          <w:rFonts w:eastAsia="Times New Roman"/>
        </w:rPr>
        <w:t>nonduality</w:t>
      </w:r>
      <w:proofErr w:type="spellEnd"/>
      <w:r>
        <w:rPr>
          <w:rFonts w:eastAsia="Times New Roman"/>
        </w:rPr>
        <w:t xml:space="preserve"> (</w:t>
      </w:r>
      <w:proofErr w:type="spellStart"/>
      <w:r>
        <w:rPr>
          <w:rFonts w:eastAsia="Times New Roman"/>
        </w:rPr>
        <w:t>NFxND</w:t>
      </w:r>
      <w:proofErr w:type="spellEnd"/>
      <w:r>
        <w:rPr>
          <w:rFonts w:eastAsia="Times New Roman"/>
        </w:rPr>
        <w:t xml:space="preserve">). </w:t>
      </w:r>
      <w:r w:rsidR="00D55ECC">
        <w:rPr>
          <w:rFonts w:eastAsia="Times New Roman"/>
        </w:rPr>
        <w:t xml:space="preserve">If we consider the </w:t>
      </w:r>
      <w:proofErr w:type="spellStart"/>
      <w:r w:rsidR="00D55ECC">
        <w:rPr>
          <w:rFonts w:eastAsia="Times New Roman"/>
        </w:rPr>
        <w:t>NFxND</w:t>
      </w:r>
      <w:proofErr w:type="spellEnd"/>
      <w:r w:rsidR="00D55ECC">
        <w:rPr>
          <w:rFonts w:eastAsia="Times New Roman"/>
        </w:rPr>
        <w:t xml:space="preserve"> structure as the “base” </w:t>
      </w:r>
      <w:r w:rsidR="00AB514E">
        <w:rPr>
          <w:rFonts w:eastAsia="Times New Roman"/>
        </w:rPr>
        <w:t>category</w:t>
      </w:r>
      <w:r w:rsidR="00D55ECC">
        <w:rPr>
          <w:rFonts w:eastAsia="Times New Roman"/>
        </w:rPr>
        <w:t xml:space="preserve">, Tobin’s </w:t>
      </w:r>
      <w:r w:rsidR="00D55ECC" w:rsidRPr="00AB514E">
        <w:rPr>
          <w:rFonts w:eastAsia="Times New Roman"/>
          <w:i/>
        </w:rPr>
        <w:t>q</w:t>
      </w:r>
      <w:r w:rsidR="00D55ECC">
        <w:rPr>
          <w:rFonts w:eastAsia="Times New Roman"/>
        </w:rPr>
        <w:t xml:space="preserve"> increases </w:t>
      </w:r>
      <w:r w:rsidR="008D0033">
        <w:rPr>
          <w:rFonts w:eastAsia="Times New Roman"/>
        </w:rPr>
        <w:t xml:space="preserve">in </w:t>
      </w:r>
      <w:r w:rsidR="00D55ECC">
        <w:rPr>
          <w:rFonts w:eastAsia="Times New Roman"/>
        </w:rPr>
        <w:t>each other</w:t>
      </w:r>
      <w:r w:rsidR="00F641CA">
        <w:rPr>
          <w:rFonts w:eastAsia="Times New Roman"/>
        </w:rPr>
        <w:t xml:space="preserve"> control</w:t>
      </w:r>
      <w:r w:rsidR="00D55ECC">
        <w:rPr>
          <w:rFonts w:eastAsia="Times New Roman"/>
        </w:rPr>
        <w:t xml:space="preserve"> structure. Our estimates show that the highest performance exists for </w:t>
      </w:r>
      <w:proofErr w:type="spellStart"/>
      <w:r w:rsidR="00D55ECC">
        <w:rPr>
          <w:rFonts w:eastAsia="Times New Roman"/>
        </w:rPr>
        <w:t>FxND</w:t>
      </w:r>
      <w:proofErr w:type="spellEnd"/>
      <w:r w:rsidR="00D55ECC">
        <w:rPr>
          <w:rFonts w:eastAsia="Times New Roman"/>
        </w:rPr>
        <w:t xml:space="preserve"> firms due to the negative interaction between family and duality.</w:t>
      </w:r>
      <w:r w:rsidR="00197D98">
        <w:rPr>
          <w:rStyle w:val="FootnoteReference"/>
          <w:rFonts w:eastAsia="Times New Roman"/>
        </w:rPr>
        <w:footnoteReference w:id="25"/>
      </w:r>
      <w:r w:rsidR="00D55ECC">
        <w:rPr>
          <w:rFonts w:eastAsia="Times New Roman"/>
        </w:rPr>
        <w:t xml:space="preserve"> Thus, our results support Hypothesis </w:t>
      </w:r>
      <w:r w:rsidR="008D0033">
        <w:rPr>
          <w:rFonts w:eastAsia="Times New Roman"/>
        </w:rPr>
        <w:t xml:space="preserve">5a, that duality </w:t>
      </w:r>
      <w:proofErr w:type="gramStart"/>
      <w:r w:rsidR="008D0033">
        <w:rPr>
          <w:rFonts w:eastAsia="Times New Roman"/>
        </w:rPr>
        <w:t>is positively related</w:t>
      </w:r>
      <w:proofErr w:type="gramEnd"/>
      <w:r w:rsidR="008D0033">
        <w:rPr>
          <w:rFonts w:eastAsia="Times New Roman"/>
        </w:rPr>
        <w:t xml:space="preserve"> to performance, and Hypothesis 5b, that the coincidence of family control and duality is associated with lower performance</w:t>
      </w:r>
      <w:r w:rsidR="00F641CA">
        <w:rPr>
          <w:rFonts w:eastAsia="Times New Roman"/>
        </w:rPr>
        <w:t>.</w:t>
      </w:r>
    </w:p>
    <w:p w:rsidR="00B53AD3" w:rsidRDefault="00D55ECC" w:rsidP="0017120C">
      <w:pPr>
        <w:spacing w:line="480" w:lineRule="auto"/>
        <w:ind w:firstLine="720"/>
        <w:jc w:val="both"/>
        <w:rPr>
          <w:rFonts w:eastAsia="Times New Roman"/>
        </w:rPr>
      </w:pPr>
      <w:r>
        <w:rPr>
          <w:rFonts w:eastAsia="Times New Roman"/>
        </w:rPr>
        <w:t xml:space="preserve">Contrary to Hypothesis </w:t>
      </w:r>
      <w:r w:rsidR="00535D35">
        <w:rPr>
          <w:rFonts w:eastAsia="Times New Roman"/>
        </w:rPr>
        <w:t>2</w:t>
      </w:r>
      <w:r>
        <w:rPr>
          <w:rFonts w:eastAsia="Times New Roman"/>
        </w:rPr>
        <w:t>, w</w:t>
      </w:r>
      <w:r w:rsidR="00957C33">
        <w:rPr>
          <w:rFonts w:eastAsia="Times New Roman"/>
        </w:rPr>
        <w:t xml:space="preserve">e find that Tobin’s q </w:t>
      </w:r>
      <w:proofErr w:type="gramStart"/>
      <w:r w:rsidR="00957C33">
        <w:rPr>
          <w:rFonts w:eastAsia="Times New Roman"/>
        </w:rPr>
        <w:t>is negatively related</w:t>
      </w:r>
      <w:proofErr w:type="gramEnd"/>
      <w:r w:rsidR="00957C33">
        <w:rPr>
          <w:rFonts w:eastAsia="Times New Roman"/>
        </w:rPr>
        <w:t xml:space="preserve"> to </w:t>
      </w:r>
      <w:proofErr w:type="spellStart"/>
      <w:r w:rsidR="00957C33">
        <w:rPr>
          <w:rFonts w:eastAsia="Times New Roman"/>
        </w:rPr>
        <w:t>blockholder</w:t>
      </w:r>
      <w:proofErr w:type="spellEnd"/>
      <w:r w:rsidR="00957C33">
        <w:rPr>
          <w:rFonts w:eastAsia="Times New Roman"/>
        </w:rPr>
        <w:t xml:space="preserve"> ownership</w:t>
      </w:r>
      <w:r>
        <w:rPr>
          <w:rFonts w:eastAsia="Times New Roman"/>
        </w:rPr>
        <w:t>.</w:t>
      </w:r>
      <w:r w:rsidR="00957C33">
        <w:rPr>
          <w:rFonts w:eastAsia="Times New Roman"/>
        </w:rPr>
        <w:t xml:space="preserve"> </w:t>
      </w:r>
      <w:r w:rsidR="00B425E7">
        <w:rPr>
          <w:rFonts w:eastAsia="Times New Roman"/>
        </w:rPr>
        <w:t xml:space="preserve">While </w:t>
      </w:r>
      <w:proofErr w:type="spellStart"/>
      <w:r w:rsidR="00B425E7">
        <w:rPr>
          <w:rFonts w:eastAsia="Times New Roman"/>
        </w:rPr>
        <w:t>blockholder</w:t>
      </w:r>
      <w:proofErr w:type="spellEnd"/>
      <w:r w:rsidR="00B425E7">
        <w:rPr>
          <w:rFonts w:eastAsia="Times New Roman"/>
        </w:rPr>
        <w:t xml:space="preserve"> ownership is supposedly associated with better governance through monitoring, it is possible that this governance is not valued by investors. Additionally, because the insurance industry is heavily monitored by regulators and rating agencies, added monitoring by </w:t>
      </w:r>
      <w:proofErr w:type="spellStart"/>
      <w:r w:rsidR="00B425E7">
        <w:rPr>
          <w:rFonts w:eastAsia="Times New Roman"/>
        </w:rPr>
        <w:t>blockholders</w:t>
      </w:r>
      <w:proofErr w:type="spellEnd"/>
      <w:r w:rsidR="00B425E7">
        <w:rPr>
          <w:rFonts w:eastAsia="Times New Roman"/>
        </w:rPr>
        <w:t xml:space="preserve"> may be a trivial contribution.</w:t>
      </w:r>
      <w:r w:rsidR="000F55F1" w:rsidRPr="000F55F1">
        <w:t xml:space="preserve"> </w:t>
      </w:r>
      <w:r w:rsidR="000F55F1" w:rsidRPr="001272BC">
        <w:t>It is possible that large institutional investors exert influence on firm managers to divert cash flows towards their own interests and away from minority shareholders (</w:t>
      </w:r>
      <w:proofErr w:type="spellStart"/>
      <w:r w:rsidR="000F55F1" w:rsidRPr="001272BC">
        <w:t>Shleifer</w:t>
      </w:r>
      <w:proofErr w:type="spellEnd"/>
      <w:r w:rsidR="000F55F1" w:rsidRPr="001272BC">
        <w:t xml:space="preserve"> and </w:t>
      </w:r>
      <w:proofErr w:type="spellStart"/>
      <w:r w:rsidR="000F55F1" w:rsidRPr="001272BC">
        <w:t>Vishny</w:t>
      </w:r>
      <w:proofErr w:type="spellEnd"/>
      <w:r w:rsidR="000F55F1" w:rsidRPr="001272BC">
        <w:t xml:space="preserve">, 1997; Andres, 2008). </w:t>
      </w:r>
      <w:proofErr w:type="gramStart"/>
      <w:r w:rsidR="000F55F1" w:rsidRPr="001272BC">
        <w:t xml:space="preserve">It is also possible that the finding is a result of unavoidable measurement difficulty – i.e., some institutional investors own controlling interests in our sample firms but at a level below </w:t>
      </w:r>
      <w:r w:rsidR="00535D35">
        <w:t xml:space="preserve">five </w:t>
      </w:r>
      <w:r w:rsidR="000F55F1">
        <w:t>percent</w:t>
      </w:r>
      <w:r w:rsidR="00535D35">
        <w:t xml:space="preserve"> (and thus not reported in company filings)</w:t>
      </w:r>
      <w:r w:rsidR="000F55F1" w:rsidRPr="001272BC">
        <w:t>.</w:t>
      </w:r>
      <w:proofErr w:type="gramEnd"/>
      <w:r w:rsidR="00516FAE">
        <w:t xml:space="preserve"> </w:t>
      </w:r>
    </w:p>
    <w:p w:rsidR="00535D35" w:rsidRDefault="00B425E7" w:rsidP="0017120C">
      <w:pPr>
        <w:spacing w:line="480" w:lineRule="auto"/>
        <w:ind w:firstLine="720"/>
        <w:jc w:val="both"/>
        <w:rPr>
          <w:rFonts w:eastAsia="Times New Roman"/>
        </w:rPr>
      </w:pPr>
      <w:r>
        <w:rPr>
          <w:rFonts w:eastAsia="Times New Roman"/>
        </w:rPr>
        <w:t xml:space="preserve">We find a positive association between </w:t>
      </w:r>
      <w:r w:rsidRPr="00EB01D8">
        <w:rPr>
          <w:rFonts w:eastAsia="Times New Roman"/>
          <w:i/>
        </w:rPr>
        <w:t>q</w:t>
      </w:r>
      <w:r>
        <w:rPr>
          <w:rFonts w:eastAsia="Times New Roman"/>
        </w:rPr>
        <w:t xml:space="preserve"> and </w:t>
      </w:r>
      <w:r w:rsidR="00957C33">
        <w:rPr>
          <w:rFonts w:eastAsia="Times New Roman"/>
        </w:rPr>
        <w:t>an ownership stake by Blackrock</w:t>
      </w:r>
      <w:r>
        <w:rPr>
          <w:rFonts w:eastAsia="Times New Roman"/>
        </w:rPr>
        <w:t xml:space="preserve">, in support of Hypothesis </w:t>
      </w:r>
      <w:r w:rsidR="00535D35">
        <w:rPr>
          <w:rFonts w:eastAsia="Times New Roman"/>
        </w:rPr>
        <w:t>3</w:t>
      </w:r>
      <w:r w:rsidR="00957C33">
        <w:rPr>
          <w:rFonts w:eastAsia="Times New Roman"/>
        </w:rPr>
        <w:t>.</w:t>
      </w:r>
      <w:r w:rsidR="00516FAE">
        <w:rPr>
          <w:rFonts w:eastAsia="Times New Roman"/>
        </w:rPr>
        <w:t xml:space="preserve"> </w:t>
      </w:r>
      <w:r w:rsidR="00957C33">
        <w:rPr>
          <w:rFonts w:eastAsia="Times New Roman"/>
        </w:rPr>
        <w:t xml:space="preserve">The positive coefficient for Blackrock may indicate a collusion effect which is discussed by </w:t>
      </w:r>
      <w:proofErr w:type="spellStart"/>
      <w:r w:rsidR="00957C33">
        <w:rPr>
          <w:rFonts w:eastAsia="Times New Roman"/>
        </w:rPr>
        <w:t>Azur</w:t>
      </w:r>
      <w:proofErr w:type="spellEnd"/>
      <w:r w:rsidR="00957C33">
        <w:rPr>
          <w:rFonts w:eastAsia="Times New Roman"/>
        </w:rPr>
        <w:t xml:space="preserve"> </w:t>
      </w:r>
      <w:r w:rsidR="00957C33">
        <w:rPr>
          <w:rFonts w:eastAsia="Times New Roman"/>
          <w:i/>
        </w:rPr>
        <w:t>et al.</w:t>
      </w:r>
      <w:r w:rsidR="00957C33">
        <w:rPr>
          <w:rFonts w:eastAsia="Times New Roman"/>
        </w:rPr>
        <w:t xml:space="preserve"> It may also indicate a preference for Blackrock to select firms with</w:t>
      </w:r>
      <w:r w:rsidR="00FD43CB">
        <w:rPr>
          <w:rFonts w:eastAsia="Times New Roman"/>
        </w:rPr>
        <w:t xml:space="preserve"> greater</w:t>
      </w:r>
      <w:r w:rsidR="00957C33">
        <w:rPr>
          <w:rFonts w:eastAsia="Times New Roman"/>
        </w:rPr>
        <w:t xml:space="preserve"> growth potential. </w:t>
      </w:r>
    </w:p>
    <w:p w:rsidR="00535D35" w:rsidRDefault="00FD43CB" w:rsidP="0017120C">
      <w:pPr>
        <w:spacing w:line="480" w:lineRule="auto"/>
        <w:ind w:firstLine="720"/>
        <w:jc w:val="both"/>
        <w:rPr>
          <w:rFonts w:eastAsia="Times New Roman"/>
        </w:rPr>
      </w:pPr>
      <w:r>
        <w:rPr>
          <w:rFonts w:eastAsia="Times New Roman"/>
        </w:rPr>
        <w:t xml:space="preserve">In the first four models, we </w:t>
      </w:r>
      <w:r w:rsidR="00957C33">
        <w:rPr>
          <w:rFonts w:eastAsia="Times New Roman"/>
        </w:rPr>
        <w:t xml:space="preserve">do not observe a significant relationship between non-family </w:t>
      </w:r>
      <w:r w:rsidR="00957C33">
        <w:rPr>
          <w:rFonts w:eastAsia="Times New Roman"/>
        </w:rPr>
        <w:lastRenderedPageBreak/>
        <w:t xml:space="preserve">D&amp;O ownership and </w:t>
      </w:r>
      <w:r w:rsidR="00957C33">
        <w:rPr>
          <w:rFonts w:eastAsia="Times New Roman"/>
          <w:i/>
        </w:rPr>
        <w:t>q</w:t>
      </w:r>
      <w:r w:rsidR="00B425E7">
        <w:rPr>
          <w:rFonts w:eastAsia="Times New Roman"/>
        </w:rPr>
        <w:t xml:space="preserve"> so therefore find no support for Hypothesis </w:t>
      </w:r>
      <w:r w:rsidR="00535D35">
        <w:rPr>
          <w:rFonts w:eastAsia="Times New Roman"/>
        </w:rPr>
        <w:t>4</w:t>
      </w:r>
      <w:r w:rsidR="00B425E7">
        <w:rPr>
          <w:rFonts w:eastAsia="Times New Roman"/>
        </w:rPr>
        <w:t>.</w:t>
      </w:r>
      <w:r>
        <w:rPr>
          <w:rFonts w:eastAsia="Times New Roman"/>
        </w:rPr>
        <w:t xml:space="preserve"> However, in models five and six (which remove all family-firm observations) we see a positive association between non-family D&amp;O ownership and performance which lends more support to the Stewardship view of the firm.</w:t>
      </w:r>
      <w:r w:rsidR="006F4E57">
        <w:rPr>
          <w:rFonts w:eastAsia="Times New Roman"/>
        </w:rPr>
        <w:t xml:space="preserve"> </w:t>
      </w:r>
    </w:p>
    <w:p w:rsidR="00535D35" w:rsidRDefault="00B53AD3" w:rsidP="0017120C">
      <w:pPr>
        <w:spacing w:line="480" w:lineRule="auto"/>
        <w:ind w:firstLine="720"/>
        <w:jc w:val="both"/>
        <w:rPr>
          <w:rFonts w:eastAsia="Times New Roman"/>
        </w:rPr>
      </w:pPr>
      <w:r>
        <w:rPr>
          <w:rFonts w:eastAsia="Times New Roman"/>
        </w:rPr>
        <w:t>We observe a positive relation between performance and both our compensation-amount variable (Current Compensation) and our forward-looking compensation variable.</w:t>
      </w:r>
      <w:r w:rsidR="00535D35">
        <w:rPr>
          <w:rFonts w:eastAsia="Times New Roman"/>
        </w:rPr>
        <w:t xml:space="preserve"> These findings yield partial support for Hypothesis 6.</w:t>
      </w:r>
      <w:r>
        <w:rPr>
          <w:rFonts w:eastAsia="Times New Roman"/>
        </w:rPr>
        <w:t xml:space="preserve"> The positive association with forward-looking compensation is expected and indicates that</w:t>
      </w:r>
      <w:r w:rsidR="00FD43CB">
        <w:rPr>
          <w:rFonts w:eastAsia="Times New Roman"/>
        </w:rPr>
        <w:t xml:space="preserve"> firms with a higher value of forward-looking performance employ</w:t>
      </w:r>
      <w:r>
        <w:rPr>
          <w:rFonts w:eastAsia="Times New Roman"/>
        </w:rPr>
        <w:t xml:space="preserve"> managers who realize more pay from better future performance</w:t>
      </w:r>
      <w:r w:rsidR="00FD43CB">
        <w:rPr>
          <w:rFonts w:eastAsia="Times New Roman"/>
        </w:rPr>
        <w:t xml:space="preserve">. </w:t>
      </w:r>
      <w:r w:rsidR="00535D35">
        <w:rPr>
          <w:rFonts w:eastAsia="Times New Roman"/>
        </w:rPr>
        <w:t xml:space="preserve">We did not expect a </w:t>
      </w:r>
      <w:r w:rsidR="00FD43CB">
        <w:rPr>
          <w:rFonts w:eastAsia="Times New Roman"/>
        </w:rPr>
        <w:t xml:space="preserve">positive association </w:t>
      </w:r>
      <w:r w:rsidR="00535D35">
        <w:rPr>
          <w:rFonts w:eastAsia="Times New Roman"/>
        </w:rPr>
        <w:t xml:space="preserve">between </w:t>
      </w:r>
      <w:r w:rsidR="00535D35">
        <w:rPr>
          <w:rFonts w:eastAsia="Times New Roman"/>
          <w:i/>
        </w:rPr>
        <w:t>q</w:t>
      </w:r>
      <w:r w:rsidR="00535D35">
        <w:rPr>
          <w:rFonts w:eastAsia="Times New Roman"/>
        </w:rPr>
        <w:t xml:space="preserve"> and </w:t>
      </w:r>
      <w:r w:rsidR="00FD43CB">
        <w:rPr>
          <w:rFonts w:eastAsia="Times New Roman"/>
        </w:rPr>
        <w:t xml:space="preserve">the amount of </w:t>
      </w:r>
      <w:r w:rsidR="00535D35">
        <w:rPr>
          <w:rFonts w:eastAsia="Times New Roman"/>
        </w:rPr>
        <w:t xml:space="preserve">current </w:t>
      </w:r>
      <w:r w:rsidR="00FD43CB">
        <w:rPr>
          <w:rFonts w:eastAsia="Times New Roman"/>
        </w:rPr>
        <w:t xml:space="preserve">compensation </w:t>
      </w:r>
      <w:r w:rsidR="00535D35">
        <w:rPr>
          <w:rFonts w:eastAsia="Times New Roman"/>
        </w:rPr>
        <w:t xml:space="preserve">as this </w:t>
      </w:r>
      <w:proofErr w:type="gramStart"/>
      <w:r w:rsidR="00535D35">
        <w:rPr>
          <w:rFonts w:eastAsia="Times New Roman"/>
        </w:rPr>
        <w:t>may</w:t>
      </w:r>
      <w:proofErr w:type="gramEnd"/>
      <w:r w:rsidR="00535D35">
        <w:rPr>
          <w:rFonts w:eastAsia="Times New Roman"/>
        </w:rPr>
        <w:t xml:space="preserve"> represent an</w:t>
      </w:r>
      <w:r w:rsidR="00FD43CB">
        <w:rPr>
          <w:rFonts w:eastAsia="Times New Roman"/>
        </w:rPr>
        <w:t xml:space="preserve"> increased agency cost</w:t>
      </w:r>
      <w:r w:rsidR="00535D35">
        <w:rPr>
          <w:rFonts w:eastAsia="Times New Roman"/>
        </w:rPr>
        <w:t xml:space="preserve"> to shareholders</w:t>
      </w:r>
      <w:r w:rsidR="00FD43CB">
        <w:rPr>
          <w:rFonts w:eastAsia="Times New Roman"/>
        </w:rPr>
        <w:t>.</w:t>
      </w:r>
      <w:r w:rsidR="00535D35">
        <w:rPr>
          <w:rFonts w:eastAsia="Times New Roman"/>
        </w:rPr>
        <w:t xml:space="preserve"> Perhaps these </w:t>
      </w:r>
      <w:proofErr w:type="gramStart"/>
      <w:r w:rsidR="00535D35">
        <w:rPr>
          <w:rFonts w:eastAsia="Times New Roman"/>
        </w:rPr>
        <w:t>better paid</w:t>
      </w:r>
      <w:proofErr w:type="gramEnd"/>
      <w:r w:rsidR="00535D35">
        <w:rPr>
          <w:rFonts w:eastAsia="Times New Roman"/>
        </w:rPr>
        <w:t xml:space="preserve"> managers also make better long-term decisions for the firm.</w:t>
      </w:r>
    </w:p>
    <w:p w:rsidR="00957C33" w:rsidRDefault="00FD43CB" w:rsidP="0017120C">
      <w:pPr>
        <w:spacing w:line="480" w:lineRule="auto"/>
        <w:ind w:firstLine="720"/>
        <w:jc w:val="both"/>
        <w:rPr>
          <w:rFonts w:eastAsia="Times New Roman"/>
        </w:rPr>
      </w:pPr>
      <w:r>
        <w:rPr>
          <w:rFonts w:eastAsia="Times New Roman"/>
        </w:rPr>
        <w:t xml:space="preserve">Finally, we find a generally negative relation between increased </w:t>
      </w:r>
      <w:proofErr w:type="gramStart"/>
      <w:r>
        <w:rPr>
          <w:rFonts w:eastAsia="Times New Roman"/>
        </w:rPr>
        <w:t>leverage</w:t>
      </w:r>
      <w:proofErr w:type="gramEnd"/>
      <w:r>
        <w:rPr>
          <w:rFonts w:eastAsia="Times New Roman"/>
        </w:rPr>
        <w:t xml:space="preserve"> (the ratio of liabilities to total assets) and firm performance. Prior results are mixed regarding the use of leverage. Our sample consists of only insurance firms whose liabilities mostly represent future claims payments.</w:t>
      </w:r>
      <w:r w:rsidR="00D44EC1">
        <w:rPr>
          <w:rFonts w:eastAsia="Times New Roman"/>
        </w:rPr>
        <w:t xml:space="preserve"> The negative relation may </w:t>
      </w:r>
      <w:r w:rsidR="00535D35">
        <w:rPr>
          <w:rFonts w:eastAsia="Times New Roman"/>
        </w:rPr>
        <w:t>represent</w:t>
      </w:r>
      <w:r w:rsidR="00D44EC1">
        <w:rPr>
          <w:rFonts w:eastAsia="Times New Roman"/>
        </w:rPr>
        <w:t xml:space="preserve"> increased uncertainty about future firm solvency or profitability</w:t>
      </w:r>
      <w:r w:rsidR="00535D35">
        <w:rPr>
          <w:rFonts w:eastAsia="Times New Roman"/>
        </w:rPr>
        <w:t xml:space="preserve"> due to the pressure </w:t>
      </w:r>
      <w:r w:rsidR="00AB514E">
        <w:rPr>
          <w:rFonts w:eastAsia="Times New Roman"/>
        </w:rPr>
        <w:t>th</w:t>
      </w:r>
      <w:r w:rsidR="004F3605">
        <w:rPr>
          <w:rFonts w:eastAsia="Times New Roman"/>
        </w:rPr>
        <w:t>at</w:t>
      </w:r>
      <w:r w:rsidR="00AB514E">
        <w:rPr>
          <w:rFonts w:eastAsia="Times New Roman"/>
        </w:rPr>
        <w:t xml:space="preserve"> </w:t>
      </w:r>
      <w:r w:rsidR="00535D35">
        <w:rPr>
          <w:rFonts w:eastAsia="Times New Roman"/>
        </w:rPr>
        <w:t>greater liabilities place on future cash flows</w:t>
      </w:r>
      <w:r w:rsidR="00D44EC1">
        <w:rPr>
          <w:rFonts w:eastAsia="Times New Roman"/>
        </w:rPr>
        <w:t xml:space="preserve">. We therefore reject Hypothesis </w:t>
      </w:r>
      <w:r w:rsidR="00535D35">
        <w:rPr>
          <w:rFonts w:eastAsia="Times New Roman"/>
        </w:rPr>
        <w:t>7</w:t>
      </w:r>
      <w:r w:rsidR="00D44EC1">
        <w:rPr>
          <w:rFonts w:eastAsia="Times New Roman"/>
        </w:rPr>
        <w:t xml:space="preserve">, which </w:t>
      </w:r>
      <w:proofErr w:type="gramStart"/>
      <w:r w:rsidR="00D44EC1">
        <w:rPr>
          <w:rFonts w:eastAsia="Times New Roman"/>
        </w:rPr>
        <w:t>is presented</w:t>
      </w:r>
      <w:proofErr w:type="gramEnd"/>
      <w:r w:rsidR="00D44EC1">
        <w:rPr>
          <w:rFonts w:eastAsia="Times New Roman"/>
        </w:rPr>
        <w:t xml:space="preserve"> in the null form.</w:t>
      </w:r>
    </w:p>
    <w:p w:rsidR="00DA6750" w:rsidRDefault="00EB1982" w:rsidP="0070154B">
      <w:pPr>
        <w:pStyle w:val="BodyText"/>
        <w:spacing w:line="480" w:lineRule="auto"/>
        <w:ind w:firstLine="720"/>
        <w:jc w:val="both"/>
      </w:pPr>
      <w:r>
        <w:t xml:space="preserve">The results </w:t>
      </w:r>
      <w:proofErr w:type="gramStart"/>
      <w:r>
        <w:t>are as</w:t>
      </w:r>
      <w:r w:rsidR="000F55F1">
        <w:t xml:space="preserve"> generally</w:t>
      </w:r>
      <w:r>
        <w:t xml:space="preserve"> expected</w:t>
      </w:r>
      <w:proofErr w:type="gramEnd"/>
      <w:r>
        <w:t xml:space="preserve"> for our non-governance</w:t>
      </w:r>
      <w:r w:rsidRPr="001272BC">
        <w:t xml:space="preserve"> control variables</w:t>
      </w:r>
      <w:r w:rsidR="00535D35">
        <w:t>:</w:t>
      </w:r>
      <w:r w:rsidRPr="001272BC">
        <w:t xml:space="preserve"> </w:t>
      </w:r>
      <w:r>
        <w:t xml:space="preserve">liquidity, risk, </w:t>
      </w:r>
      <w:r w:rsidRPr="001272BC">
        <w:t>size</w:t>
      </w:r>
      <w:r>
        <w:t>, and</w:t>
      </w:r>
      <w:r w:rsidRPr="001272BC">
        <w:t xml:space="preserve"> diversification.</w:t>
      </w:r>
      <w:r>
        <w:t xml:space="preserve"> </w:t>
      </w:r>
      <w:proofErr w:type="gramStart"/>
      <w:r w:rsidRPr="001272BC">
        <w:t>Liquidity,</w:t>
      </w:r>
      <w:proofErr w:type="gramEnd"/>
      <w:r w:rsidRPr="001272BC">
        <w:t xml:space="preserve"> measured as the firm’s </w:t>
      </w:r>
      <w:r w:rsidR="00535D35">
        <w:t>operating</w:t>
      </w:r>
      <w:r w:rsidR="00535D35" w:rsidRPr="001272BC">
        <w:t xml:space="preserve"> </w:t>
      </w:r>
      <w:r w:rsidRPr="001272BC">
        <w:t xml:space="preserve">cash flow to market value, is negatively </w:t>
      </w:r>
      <w:r>
        <w:t xml:space="preserve">but not significantly </w:t>
      </w:r>
      <w:r w:rsidRPr="001272BC">
        <w:t xml:space="preserve">related to firm performance. </w:t>
      </w:r>
      <w:r>
        <w:t xml:space="preserve">Because firms with low </w:t>
      </w:r>
      <w:proofErr w:type="gramStart"/>
      <w:r>
        <w:t>leverage</w:t>
      </w:r>
      <w:proofErr w:type="gramEnd"/>
      <w:r>
        <w:t xml:space="preserve"> may incur financial constraints and because firms with very high levels of leverage may be takeover targets, we identify these </w:t>
      </w:r>
      <w:r w:rsidR="00535D35">
        <w:t xml:space="preserve">observations </w:t>
      </w:r>
      <w:r>
        <w:t xml:space="preserve">and consistently find a significant negative </w:t>
      </w:r>
      <w:r>
        <w:lastRenderedPageBreak/>
        <w:t xml:space="preserve">effect. </w:t>
      </w:r>
      <w:r w:rsidR="000F55F1">
        <w:t>T</w:t>
      </w:r>
      <w:r>
        <w:t xml:space="preserve">he coefficient of </w:t>
      </w:r>
      <w:r w:rsidRPr="001272BC">
        <w:t xml:space="preserve">our risk variable </w:t>
      </w:r>
      <w:proofErr w:type="gramStart"/>
      <w:r w:rsidRPr="001272BC">
        <w:t xml:space="preserve">is </w:t>
      </w:r>
      <w:r w:rsidR="000F55F1">
        <w:t>not</w:t>
      </w:r>
      <w:r w:rsidRPr="001272BC">
        <w:t xml:space="preserve"> significantly related</w:t>
      </w:r>
      <w:proofErr w:type="gramEnd"/>
      <w:r w:rsidRPr="001272BC">
        <w:t xml:space="preserve"> to firm performance.</w:t>
      </w:r>
      <w:r w:rsidR="00516FAE">
        <w:t xml:space="preserve"> </w:t>
      </w:r>
      <w:r w:rsidRPr="001272BC">
        <w:t xml:space="preserve">The coefficient for size, measured by the </w:t>
      </w:r>
      <w:r w:rsidR="000F55F1">
        <w:t xml:space="preserve">natural </w:t>
      </w:r>
      <w:r w:rsidRPr="001272BC">
        <w:t>log of assets, is negatively related to firm performance</w:t>
      </w:r>
      <w:r>
        <w:t>,</w:t>
      </w:r>
      <w:r w:rsidRPr="001272BC">
        <w:t xml:space="preserve"> </w:t>
      </w:r>
      <w:r>
        <w:t xml:space="preserve">consistent with Cummins and </w:t>
      </w:r>
      <w:proofErr w:type="spellStart"/>
      <w:r>
        <w:t>Xie</w:t>
      </w:r>
      <w:proofErr w:type="spellEnd"/>
      <w:r>
        <w:t xml:space="preserve"> (2013)</w:t>
      </w:r>
      <w:r w:rsidRPr="001272BC">
        <w:t>.</w:t>
      </w:r>
      <w:r>
        <w:t xml:space="preserve"> </w:t>
      </w:r>
      <w:r w:rsidRPr="001272BC">
        <w:t xml:space="preserve">We also include a control for </w:t>
      </w:r>
      <w:r>
        <w:t>firm focus</w:t>
      </w:r>
      <w:r w:rsidR="000F55F1">
        <w:t xml:space="preserve"> (equal to one for firms which operate in one business segment)</w:t>
      </w:r>
      <w:r>
        <w:t xml:space="preserve"> and consistent with the literature find</w:t>
      </w:r>
      <w:r w:rsidRPr="001272BC">
        <w:t xml:space="preserve"> </w:t>
      </w:r>
      <w:r>
        <w:t xml:space="preserve">a positive effect </w:t>
      </w:r>
      <w:r w:rsidRPr="001272BC">
        <w:t xml:space="preserve">(Berger and </w:t>
      </w:r>
      <w:proofErr w:type="spellStart"/>
      <w:r w:rsidRPr="001272BC">
        <w:t>Ofek</w:t>
      </w:r>
      <w:proofErr w:type="spellEnd"/>
      <w:r w:rsidRPr="001272BC">
        <w:t>, 1995</w:t>
      </w:r>
      <w:r w:rsidR="00535D35">
        <w:t>; Liebenberg and Sommer, 2008</w:t>
      </w:r>
      <w:r w:rsidRPr="001272BC">
        <w:t>)</w:t>
      </w:r>
      <w:r>
        <w:t>.</w:t>
      </w:r>
    </w:p>
    <w:p w:rsidR="00DA6750" w:rsidRDefault="00DA6750" w:rsidP="00DA6750">
      <w:pPr>
        <w:pStyle w:val="Default"/>
        <w:keepNext/>
        <w:spacing w:line="480" w:lineRule="auto"/>
        <w:rPr>
          <w:bCs/>
          <w:smallCaps/>
          <w:color w:val="auto"/>
        </w:rPr>
      </w:pPr>
      <w:r w:rsidRPr="00FE7ECB">
        <w:rPr>
          <w:bCs/>
          <w:smallCaps/>
          <w:color w:val="auto"/>
        </w:rPr>
        <w:t>I</w:t>
      </w:r>
      <w:r>
        <w:rPr>
          <w:bCs/>
          <w:smallCaps/>
          <w:color w:val="auto"/>
        </w:rPr>
        <w:t>I</w:t>
      </w:r>
      <w:r w:rsidRPr="00FE7ECB">
        <w:rPr>
          <w:bCs/>
          <w:smallCaps/>
          <w:color w:val="auto"/>
        </w:rPr>
        <w:t>I.</w:t>
      </w:r>
      <w:r>
        <w:rPr>
          <w:bCs/>
          <w:smallCaps/>
          <w:color w:val="auto"/>
        </w:rPr>
        <w:t>2</w:t>
      </w:r>
      <w:r w:rsidRPr="00FE7ECB">
        <w:rPr>
          <w:bCs/>
          <w:smallCaps/>
          <w:color w:val="auto"/>
        </w:rPr>
        <w:t xml:space="preserve"> </w:t>
      </w:r>
      <w:r w:rsidR="00C4253B">
        <w:rPr>
          <w:bCs/>
          <w:smallCaps/>
          <w:color w:val="auto"/>
        </w:rPr>
        <w:t>Additional Tests</w:t>
      </w:r>
    </w:p>
    <w:p w:rsidR="00C4253B" w:rsidRDefault="00C4253B" w:rsidP="00EB01D8">
      <w:pPr>
        <w:pStyle w:val="Default"/>
        <w:keepNext/>
        <w:spacing w:line="480" w:lineRule="auto"/>
        <w:ind w:firstLine="720"/>
        <w:jc w:val="both"/>
        <w:rPr>
          <w:rFonts w:eastAsia="Times New Roman"/>
          <w:color w:val="auto"/>
        </w:rPr>
      </w:pPr>
      <w:r>
        <w:rPr>
          <w:rFonts w:eastAsia="Times New Roman"/>
          <w:color w:val="auto"/>
        </w:rPr>
        <w:t>While not a primary concern of our study, we further</w:t>
      </w:r>
      <w:r w:rsidR="00EB01D8">
        <w:rPr>
          <w:rFonts w:eastAsia="Times New Roman"/>
          <w:color w:val="auto"/>
        </w:rPr>
        <w:t xml:space="preserve"> test for the impact of governance on</w:t>
      </w:r>
      <w:r>
        <w:rPr>
          <w:rFonts w:eastAsia="Times New Roman"/>
          <w:color w:val="auto"/>
        </w:rPr>
        <w:t xml:space="preserve"> performance by examining the relationship between our governance and control variables </w:t>
      </w:r>
      <w:r w:rsidR="00EB01D8">
        <w:rPr>
          <w:rFonts w:eastAsia="Times New Roman"/>
          <w:color w:val="auto"/>
        </w:rPr>
        <w:t xml:space="preserve">with </w:t>
      </w:r>
      <w:r>
        <w:rPr>
          <w:rFonts w:eastAsia="Times New Roman"/>
          <w:color w:val="auto"/>
        </w:rPr>
        <w:t xml:space="preserve">return. Specifically, we examine whether our independent variables in time period </w:t>
      </w:r>
      <w:r w:rsidRPr="00AB514E">
        <w:rPr>
          <w:rFonts w:eastAsia="Times New Roman"/>
          <w:i/>
          <w:color w:val="auto"/>
        </w:rPr>
        <w:t>t</w:t>
      </w:r>
      <w:r>
        <w:rPr>
          <w:rFonts w:eastAsia="Times New Roman"/>
          <w:color w:val="auto"/>
        </w:rPr>
        <w:t xml:space="preserve"> have an influence on return on </w:t>
      </w:r>
      <w:r w:rsidR="00C91A1B">
        <w:rPr>
          <w:rFonts w:eastAsia="Times New Roman"/>
          <w:color w:val="auto"/>
        </w:rPr>
        <w:t>equity</w:t>
      </w:r>
      <w:r>
        <w:rPr>
          <w:rFonts w:eastAsia="Times New Roman"/>
          <w:color w:val="auto"/>
        </w:rPr>
        <w:t xml:space="preserve"> and return on </w:t>
      </w:r>
      <w:r w:rsidR="00C91A1B">
        <w:rPr>
          <w:rFonts w:eastAsia="Times New Roman"/>
          <w:color w:val="auto"/>
        </w:rPr>
        <w:t>assets</w:t>
      </w:r>
      <w:r>
        <w:rPr>
          <w:rFonts w:eastAsia="Times New Roman"/>
          <w:color w:val="auto"/>
        </w:rPr>
        <w:t xml:space="preserve"> in time period </w:t>
      </w:r>
      <w:r w:rsidRPr="00AB514E">
        <w:rPr>
          <w:rFonts w:eastAsia="Times New Roman"/>
          <w:i/>
          <w:color w:val="auto"/>
        </w:rPr>
        <w:t>t</w:t>
      </w:r>
      <w:r>
        <w:rPr>
          <w:rFonts w:eastAsia="Times New Roman"/>
          <w:color w:val="auto"/>
        </w:rPr>
        <w:t>+</w:t>
      </w:r>
      <w:proofErr w:type="gramStart"/>
      <w:r>
        <w:rPr>
          <w:rFonts w:eastAsia="Times New Roman"/>
          <w:color w:val="auto"/>
        </w:rPr>
        <w:t>1</w:t>
      </w:r>
      <w:proofErr w:type="gramEnd"/>
      <w:r>
        <w:rPr>
          <w:rFonts w:eastAsia="Times New Roman"/>
          <w:color w:val="auto"/>
        </w:rPr>
        <w:t>.</w:t>
      </w:r>
      <w:r>
        <w:rPr>
          <w:rStyle w:val="FootnoteReference"/>
          <w:rFonts w:eastAsia="Times New Roman"/>
          <w:color w:val="auto"/>
        </w:rPr>
        <w:footnoteReference w:id="26"/>
      </w:r>
    </w:p>
    <w:p w:rsidR="003B34A4" w:rsidRPr="00012EC1" w:rsidRDefault="003B34A4" w:rsidP="003B34A4">
      <w:pPr>
        <w:pStyle w:val="BodyText"/>
        <w:spacing w:line="480" w:lineRule="auto"/>
        <w:jc w:val="center"/>
        <w:rPr>
          <w:b/>
        </w:rPr>
      </w:pPr>
      <w:r w:rsidRPr="001272BC">
        <w:rPr>
          <w:b/>
        </w:rPr>
        <w:t xml:space="preserve">Table </w:t>
      </w:r>
      <w:r>
        <w:rPr>
          <w:b/>
        </w:rPr>
        <w:t>5</w:t>
      </w:r>
      <w:r w:rsidRPr="001272BC">
        <w:rPr>
          <w:b/>
        </w:rPr>
        <w:t xml:space="preserve"> Here</w:t>
      </w:r>
    </w:p>
    <w:p w:rsidR="003B34A4" w:rsidRPr="00EB01D8" w:rsidRDefault="003B34A4" w:rsidP="00EB01D8">
      <w:pPr>
        <w:pStyle w:val="BodyText"/>
        <w:spacing w:line="480" w:lineRule="auto"/>
        <w:jc w:val="center"/>
        <w:rPr>
          <w:b/>
        </w:rPr>
      </w:pPr>
      <w:r w:rsidRPr="001272BC">
        <w:rPr>
          <w:b/>
        </w:rPr>
        <w:t xml:space="preserve">Table </w:t>
      </w:r>
      <w:r>
        <w:rPr>
          <w:b/>
        </w:rPr>
        <w:t>6</w:t>
      </w:r>
      <w:r w:rsidRPr="001272BC">
        <w:rPr>
          <w:b/>
        </w:rPr>
        <w:t xml:space="preserve"> Here</w:t>
      </w:r>
    </w:p>
    <w:p w:rsidR="00C91A1B" w:rsidRDefault="00C91A1B" w:rsidP="00EB01D8">
      <w:pPr>
        <w:pStyle w:val="Default"/>
        <w:keepNext/>
        <w:spacing w:line="480" w:lineRule="auto"/>
        <w:ind w:firstLine="720"/>
        <w:jc w:val="both"/>
        <w:rPr>
          <w:rFonts w:eastAsia="Times New Roman"/>
          <w:color w:val="auto"/>
        </w:rPr>
      </w:pPr>
      <w:r>
        <w:rPr>
          <w:rFonts w:eastAsia="Times New Roman"/>
          <w:color w:val="auto"/>
        </w:rPr>
        <w:t xml:space="preserve">The only governance </w:t>
      </w:r>
      <w:proofErr w:type="gramStart"/>
      <w:r>
        <w:rPr>
          <w:rFonts w:eastAsia="Times New Roman"/>
          <w:color w:val="auto"/>
        </w:rPr>
        <w:t>variables which show strong relations with return</w:t>
      </w:r>
      <w:proofErr w:type="gramEnd"/>
      <w:r>
        <w:rPr>
          <w:rFonts w:eastAsia="Times New Roman"/>
          <w:color w:val="auto"/>
        </w:rPr>
        <w:t xml:space="preserve"> are </w:t>
      </w:r>
      <w:proofErr w:type="spellStart"/>
      <w:r>
        <w:rPr>
          <w:rFonts w:eastAsia="Times New Roman"/>
          <w:color w:val="auto"/>
        </w:rPr>
        <w:t>blockholder</w:t>
      </w:r>
      <w:proofErr w:type="spellEnd"/>
      <w:r>
        <w:rPr>
          <w:rFonts w:eastAsia="Times New Roman"/>
          <w:color w:val="auto"/>
        </w:rPr>
        <w:t xml:space="preserve"> ownership, compensation, and leverage. These results echo those of the Tobin’s </w:t>
      </w:r>
      <w:r w:rsidRPr="00B45CDA">
        <w:rPr>
          <w:rFonts w:eastAsia="Times New Roman"/>
          <w:i/>
          <w:color w:val="auto"/>
        </w:rPr>
        <w:t>q</w:t>
      </w:r>
      <w:r>
        <w:rPr>
          <w:rFonts w:eastAsia="Times New Roman"/>
          <w:color w:val="auto"/>
        </w:rPr>
        <w:t xml:space="preserve"> models: </w:t>
      </w:r>
      <w:proofErr w:type="spellStart"/>
      <w:r>
        <w:rPr>
          <w:rFonts w:eastAsia="Times New Roman"/>
          <w:color w:val="auto"/>
        </w:rPr>
        <w:t>blockholder</w:t>
      </w:r>
      <w:proofErr w:type="spellEnd"/>
      <w:r>
        <w:rPr>
          <w:rFonts w:eastAsia="Times New Roman"/>
          <w:color w:val="auto"/>
        </w:rPr>
        <w:t xml:space="preserve"> ownership and </w:t>
      </w:r>
      <w:proofErr w:type="gramStart"/>
      <w:r>
        <w:rPr>
          <w:rFonts w:eastAsia="Times New Roman"/>
          <w:color w:val="auto"/>
        </w:rPr>
        <w:t>leverage</w:t>
      </w:r>
      <w:proofErr w:type="gramEnd"/>
      <w:r>
        <w:rPr>
          <w:rFonts w:eastAsia="Times New Roman"/>
          <w:color w:val="auto"/>
        </w:rPr>
        <w:t xml:space="preserve"> are negatively related to return. Compensation </w:t>
      </w:r>
      <w:proofErr w:type="gramStart"/>
      <w:r>
        <w:rPr>
          <w:rFonts w:eastAsia="Times New Roman"/>
          <w:color w:val="auto"/>
        </w:rPr>
        <w:t>is positively related</w:t>
      </w:r>
      <w:proofErr w:type="gramEnd"/>
      <w:r>
        <w:rPr>
          <w:rFonts w:eastAsia="Times New Roman"/>
          <w:color w:val="auto"/>
        </w:rPr>
        <w:t xml:space="preserve"> with return. There is limited evidence that family control </w:t>
      </w:r>
      <w:proofErr w:type="gramStart"/>
      <w:r>
        <w:rPr>
          <w:rFonts w:eastAsia="Times New Roman"/>
          <w:color w:val="auto"/>
        </w:rPr>
        <w:t>is negatively related</w:t>
      </w:r>
      <w:proofErr w:type="gramEnd"/>
      <w:r>
        <w:rPr>
          <w:rFonts w:eastAsia="Times New Roman"/>
          <w:color w:val="auto"/>
        </w:rPr>
        <w:t xml:space="preserve"> to return (Table 6). These findings provide additional information for hypotheses two, six, and seven, but do not provide any additional evidence for the other hypotheses. </w:t>
      </w:r>
      <w:r w:rsidR="00EB01D8">
        <w:rPr>
          <w:rFonts w:eastAsia="Times New Roman"/>
          <w:color w:val="auto"/>
        </w:rPr>
        <w:t>We do not believe that t</w:t>
      </w:r>
      <w:r>
        <w:rPr>
          <w:rFonts w:eastAsia="Times New Roman"/>
          <w:color w:val="auto"/>
        </w:rPr>
        <w:t xml:space="preserve">he lack of results in these models </w:t>
      </w:r>
      <w:r w:rsidR="00EB01D8">
        <w:rPr>
          <w:rFonts w:eastAsia="Times New Roman"/>
          <w:color w:val="auto"/>
        </w:rPr>
        <w:t>is</w:t>
      </w:r>
      <w:r w:rsidR="006B2325">
        <w:rPr>
          <w:rFonts w:eastAsia="Times New Roman"/>
          <w:color w:val="auto"/>
        </w:rPr>
        <w:t xml:space="preserve"> a great concern. Stewardship theory predicts that family-controlled firms will seek to maximize long-term performance rather than short-term returns</w:t>
      </w:r>
      <w:r w:rsidR="003B34A4">
        <w:rPr>
          <w:rFonts w:eastAsia="Times New Roman"/>
          <w:color w:val="auto"/>
        </w:rPr>
        <w:t>. Further, stronger governance</w:t>
      </w:r>
      <w:r w:rsidR="007703F9">
        <w:rPr>
          <w:rFonts w:eastAsia="Times New Roman"/>
          <w:color w:val="auto"/>
        </w:rPr>
        <w:t xml:space="preserve"> features</w:t>
      </w:r>
      <w:r w:rsidR="003B34A4">
        <w:rPr>
          <w:rFonts w:eastAsia="Times New Roman"/>
          <w:color w:val="auto"/>
        </w:rPr>
        <w:t xml:space="preserve"> should be associated with the pursuit of sustained value for shareholders rather than short-term returns. We believe the Tobin’s q results </w:t>
      </w:r>
      <w:r w:rsidR="00EB01D8">
        <w:rPr>
          <w:rFonts w:eastAsia="Times New Roman"/>
          <w:color w:val="auto"/>
        </w:rPr>
        <w:t xml:space="preserve">presented </w:t>
      </w:r>
      <w:r w:rsidR="003B34A4">
        <w:rPr>
          <w:rFonts w:eastAsia="Times New Roman"/>
          <w:color w:val="auto"/>
        </w:rPr>
        <w:t xml:space="preserve">in Table 4 </w:t>
      </w:r>
      <w:r w:rsidR="00EB01D8">
        <w:rPr>
          <w:rFonts w:eastAsia="Times New Roman"/>
          <w:color w:val="auto"/>
        </w:rPr>
        <w:lastRenderedPageBreak/>
        <w:t xml:space="preserve">are </w:t>
      </w:r>
      <w:r w:rsidR="003B34A4">
        <w:rPr>
          <w:rFonts w:eastAsia="Times New Roman"/>
          <w:color w:val="auto"/>
        </w:rPr>
        <w:t>more important and more accurate in communicating firm performance relative to corporate governance than the ROE and ROA results in Tables 5 and 6.</w:t>
      </w:r>
    </w:p>
    <w:p w:rsidR="00C91A1B" w:rsidRPr="00EB01D8" w:rsidRDefault="00EB01D8" w:rsidP="00EB01D8">
      <w:pPr>
        <w:pStyle w:val="Default"/>
        <w:keepNext/>
        <w:spacing w:line="480" w:lineRule="auto"/>
        <w:ind w:firstLine="720"/>
        <w:jc w:val="both"/>
        <w:rPr>
          <w:rFonts w:eastAsia="Times New Roman"/>
          <w:color w:val="auto"/>
        </w:rPr>
      </w:pPr>
      <w:r>
        <w:rPr>
          <w:rFonts w:eastAsia="Times New Roman"/>
          <w:color w:val="auto"/>
        </w:rPr>
        <w:t xml:space="preserve">For </w:t>
      </w:r>
      <w:r w:rsidR="00C91A1B">
        <w:rPr>
          <w:rFonts w:eastAsia="Times New Roman"/>
          <w:color w:val="auto"/>
        </w:rPr>
        <w:t>the control variables, liquidity is positively related to both return variables. As in the Tobin’s q models, size is negatively related to return and focus is positively related to return.</w:t>
      </w:r>
    </w:p>
    <w:p w:rsidR="00CD5559" w:rsidRPr="003B4664" w:rsidRDefault="00080716" w:rsidP="00EB01D8">
      <w:pPr>
        <w:pStyle w:val="BodyText"/>
        <w:spacing w:line="480" w:lineRule="auto"/>
        <w:jc w:val="both"/>
        <w:rPr>
          <w:b/>
        </w:rPr>
      </w:pPr>
      <w:r>
        <w:rPr>
          <w:b/>
          <w:smallCaps/>
        </w:rPr>
        <w:t>I</w:t>
      </w:r>
      <w:r w:rsidR="00891E36" w:rsidRPr="00891E36">
        <w:rPr>
          <w:b/>
          <w:smallCaps/>
        </w:rPr>
        <w:t>V. Discussion of Findings and Conclusion</w:t>
      </w:r>
    </w:p>
    <w:p w:rsidR="00CD5559" w:rsidRDefault="00CD5559" w:rsidP="00CD5559">
      <w:pPr>
        <w:pStyle w:val="BodyText"/>
        <w:spacing w:line="480" w:lineRule="auto"/>
        <w:ind w:firstLine="720"/>
        <w:jc w:val="both"/>
      </w:pPr>
      <w:r w:rsidRPr="001272BC">
        <w:t>Th</w:t>
      </w:r>
      <w:r>
        <w:t>is</w:t>
      </w:r>
      <w:r w:rsidRPr="001272BC">
        <w:t xml:space="preserve"> study provides</w:t>
      </w:r>
      <w:r w:rsidR="007703F9">
        <w:t xml:space="preserve"> an</w:t>
      </w:r>
      <w:r w:rsidRPr="001272BC">
        <w:t xml:space="preserve"> </w:t>
      </w:r>
      <w:r>
        <w:t xml:space="preserve">overview of governance issues </w:t>
      </w:r>
      <w:r w:rsidR="007703F9">
        <w:t xml:space="preserve">in </w:t>
      </w:r>
      <w:r>
        <w:t xml:space="preserve">the US insurance industry with a special focus on ownership </w:t>
      </w:r>
      <w:r w:rsidR="007703F9">
        <w:t>and control</w:t>
      </w:r>
      <w:r>
        <w:t xml:space="preserve">. The paper provides </w:t>
      </w:r>
      <w:r w:rsidRPr="001272BC">
        <w:t xml:space="preserve">an updated description of </w:t>
      </w:r>
      <w:r>
        <w:t xml:space="preserve">insurer </w:t>
      </w:r>
      <w:r w:rsidRPr="001272BC">
        <w:t xml:space="preserve">ownership patterns and observes that </w:t>
      </w:r>
      <w:r>
        <w:t xml:space="preserve">a high percentage of firms are family controlled and that </w:t>
      </w:r>
      <w:r w:rsidRPr="001272BC">
        <w:t>significant ownership by</w:t>
      </w:r>
      <w:r w:rsidR="007703F9">
        <w:t xml:space="preserve"> institutional investors, particularly</w:t>
      </w:r>
      <w:r w:rsidRPr="001272BC">
        <w:t xml:space="preserve"> investment funds</w:t>
      </w:r>
      <w:r w:rsidR="007703F9">
        <w:t>,</w:t>
      </w:r>
      <w:r w:rsidRPr="001272BC">
        <w:t xml:space="preserve"> is common in non-family firms. </w:t>
      </w:r>
    </w:p>
    <w:p w:rsidR="00CD5559" w:rsidRDefault="00CD5559" w:rsidP="00CD5559">
      <w:pPr>
        <w:pStyle w:val="BodyText"/>
        <w:spacing w:line="480" w:lineRule="auto"/>
        <w:ind w:firstLine="720"/>
        <w:jc w:val="both"/>
      </w:pPr>
      <w:r>
        <w:t>Conflicting theories argue that the family firm i</w:t>
      </w:r>
      <w:r w:rsidRPr="001272BC">
        <w:t xml:space="preserve">s relatively small, cost inefficient, and low performing </w:t>
      </w:r>
      <w:r w:rsidR="00172474">
        <w:t>due to</w:t>
      </w:r>
      <w:r w:rsidRPr="001272BC">
        <w:t xml:space="preserve"> nepotism and weak risk-bearing attributes (</w:t>
      </w:r>
      <w:proofErr w:type="spellStart"/>
      <w:r w:rsidRPr="001272BC">
        <w:t>Habbershon</w:t>
      </w:r>
      <w:proofErr w:type="spellEnd"/>
      <w:r w:rsidRPr="001272BC">
        <w:t xml:space="preserve"> </w:t>
      </w:r>
      <w:r w:rsidR="00D2515D">
        <w:t>and</w:t>
      </w:r>
      <w:r w:rsidRPr="001272BC">
        <w:t xml:space="preserve"> Williams 1999)</w:t>
      </w:r>
      <w:r>
        <w:t xml:space="preserve"> or</w:t>
      </w:r>
      <w:r w:rsidRPr="001272BC">
        <w:t xml:space="preserve"> that </w:t>
      </w:r>
      <w:proofErr w:type="gramStart"/>
      <w:r w:rsidRPr="001272BC">
        <w:t>family controlled</w:t>
      </w:r>
      <w:proofErr w:type="gramEnd"/>
      <w:r w:rsidRPr="001272BC">
        <w:t xml:space="preserve"> firms have performance advantages because the unity of ownership and control reduces agency</w:t>
      </w:r>
      <w:r w:rsidR="007703F9">
        <w:t xml:space="preserve"> costs</w:t>
      </w:r>
      <w:r w:rsidRPr="001272BC">
        <w:t xml:space="preserve"> (</w:t>
      </w:r>
      <w:proofErr w:type="spellStart"/>
      <w:r w:rsidRPr="001272BC">
        <w:t>Alchian</w:t>
      </w:r>
      <w:proofErr w:type="spellEnd"/>
      <w:r w:rsidRPr="001272BC">
        <w:t xml:space="preserve"> </w:t>
      </w:r>
      <w:r w:rsidR="00D2515D">
        <w:t>and</w:t>
      </w:r>
      <w:r w:rsidRPr="001272BC">
        <w:t xml:space="preserve"> </w:t>
      </w:r>
      <w:proofErr w:type="spellStart"/>
      <w:r w:rsidRPr="001272BC">
        <w:t>Demsetz</w:t>
      </w:r>
      <w:proofErr w:type="spellEnd"/>
      <w:r w:rsidRPr="001272BC">
        <w:t xml:space="preserve"> 1972)</w:t>
      </w:r>
      <w:r>
        <w:t xml:space="preserve">. Empirical evidence is also inconclusive; some </w:t>
      </w:r>
      <w:r w:rsidRPr="001272BC">
        <w:t>conclude that family firms have lower observed performance</w:t>
      </w:r>
      <w:r>
        <w:t xml:space="preserve"> (</w:t>
      </w:r>
      <w:proofErr w:type="spellStart"/>
      <w:r>
        <w:t>Shleifer</w:t>
      </w:r>
      <w:proofErr w:type="spellEnd"/>
      <w:r>
        <w:t xml:space="preserve"> and </w:t>
      </w:r>
      <w:proofErr w:type="spellStart"/>
      <w:r>
        <w:t>Vishny</w:t>
      </w:r>
      <w:proofErr w:type="spellEnd"/>
      <w:r>
        <w:t xml:space="preserve"> </w:t>
      </w:r>
      <w:r w:rsidRPr="001272BC">
        <w:t>1997)</w:t>
      </w:r>
      <w:r>
        <w:t xml:space="preserve"> but others</w:t>
      </w:r>
      <w:r w:rsidRPr="001272BC">
        <w:t xml:space="preserve"> find a positive and significant relationship between family control and firm performance</w:t>
      </w:r>
      <w:r>
        <w:t xml:space="preserve"> (Andres </w:t>
      </w:r>
      <w:r w:rsidRPr="001272BC">
        <w:t xml:space="preserve">2008). </w:t>
      </w:r>
    </w:p>
    <w:p w:rsidR="00CD5559" w:rsidRDefault="00172474" w:rsidP="00CD5559">
      <w:pPr>
        <w:pStyle w:val="BodyText"/>
        <w:spacing w:line="480" w:lineRule="auto"/>
        <w:ind w:firstLine="720"/>
        <w:jc w:val="both"/>
      </w:pPr>
      <w:r>
        <w:t>While</w:t>
      </w:r>
      <w:r w:rsidR="00CD5559">
        <w:t xml:space="preserve"> over half of the firms in our sample </w:t>
      </w:r>
      <w:r>
        <w:t>are marked by duality,</w:t>
      </w:r>
      <w:r w:rsidR="00CD5559">
        <w:t xml:space="preserve"> an absence of top-level operational and strategy diversification, such duality is often c</w:t>
      </w:r>
      <w:r w:rsidR="00CD5559" w:rsidRPr="001272BC">
        <w:t xml:space="preserve">onsidered </w:t>
      </w:r>
      <w:r w:rsidR="00CD5559">
        <w:t xml:space="preserve">a </w:t>
      </w:r>
      <w:r w:rsidR="00CD5559" w:rsidRPr="001272BC">
        <w:t xml:space="preserve">less effective </w:t>
      </w:r>
      <w:r w:rsidR="00CD5559">
        <w:t>managerial</w:t>
      </w:r>
      <w:r w:rsidR="00CD5559" w:rsidRPr="001272BC">
        <w:t xml:space="preserve"> structure </w:t>
      </w:r>
      <w:r w:rsidR="00CD5559">
        <w:t xml:space="preserve">because it </w:t>
      </w:r>
      <w:r w:rsidR="00CD5559" w:rsidRPr="001272BC">
        <w:t>removes a potential check on managerial excess (</w:t>
      </w:r>
      <w:proofErr w:type="spellStart"/>
      <w:r w:rsidR="00CD5559" w:rsidRPr="001272BC">
        <w:t>Cordeiro</w:t>
      </w:r>
      <w:proofErr w:type="spellEnd"/>
      <w:r w:rsidR="00CD5559" w:rsidRPr="001272BC">
        <w:t xml:space="preserve"> </w:t>
      </w:r>
      <w:r w:rsidR="00D2515D">
        <w:t>and</w:t>
      </w:r>
      <w:r w:rsidR="00CD5559" w:rsidRPr="001272BC">
        <w:t xml:space="preserve"> </w:t>
      </w:r>
      <w:proofErr w:type="spellStart"/>
      <w:r w:rsidR="00CD5559" w:rsidRPr="001272BC">
        <w:t>Veliyath</w:t>
      </w:r>
      <w:proofErr w:type="spellEnd"/>
      <w:r w:rsidR="00CD5559" w:rsidRPr="001272BC">
        <w:t xml:space="preserve"> 2003; </w:t>
      </w:r>
      <w:proofErr w:type="spellStart"/>
      <w:r w:rsidR="00CD5559" w:rsidRPr="001272BC">
        <w:t>Nourayi</w:t>
      </w:r>
      <w:proofErr w:type="spellEnd"/>
      <w:r w:rsidR="00CD5559" w:rsidRPr="001272BC">
        <w:t xml:space="preserve"> </w:t>
      </w:r>
      <w:r w:rsidR="00D2515D">
        <w:t>and</w:t>
      </w:r>
      <w:r w:rsidR="00CD5559" w:rsidRPr="001272BC">
        <w:t xml:space="preserve"> </w:t>
      </w:r>
      <w:proofErr w:type="spellStart"/>
      <w:r w:rsidR="00CD5559" w:rsidRPr="001272BC">
        <w:t>Mintz</w:t>
      </w:r>
      <w:proofErr w:type="spellEnd"/>
      <w:r w:rsidR="00CD5559" w:rsidRPr="001272BC">
        <w:t xml:space="preserve"> 2008)</w:t>
      </w:r>
      <w:r w:rsidR="00CD5559">
        <w:t xml:space="preserve">. But </w:t>
      </w:r>
      <w:r w:rsidR="00CD5559" w:rsidRPr="001272BC">
        <w:t xml:space="preserve">empirical evidence </w:t>
      </w:r>
      <w:r w:rsidR="00CD5559">
        <w:t xml:space="preserve">often finds a positive duality/performance relationship (Anderson and </w:t>
      </w:r>
      <w:proofErr w:type="spellStart"/>
      <w:r w:rsidR="00CD5559">
        <w:t>Reeb</w:t>
      </w:r>
      <w:proofErr w:type="spellEnd"/>
      <w:r w:rsidR="00CD5559">
        <w:t xml:space="preserve"> </w:t>
      </w:r>
      <w:r w:rsidR="00CD5559" w:rsidRPr="001272BC">
        <w:t>2003)</w:t>
      </w:r>
      <w:r w:rsidR="00CD5559">
        <w:t xml:space="preserve">. Duality is typically represented by a dummy variable when the same person is responsible for operational leadership (CEO) and </w:t>
      </w:r>
      <w:r w:rsidR="00CD5559">
        <w:lastRenderedPageBreak/>
        <w:t xml:space="preserve">strategic leadership (Board Chair). </w:t>
      </w:r>
      <w:r>
        <w:t>However, t</w:t>
      </w:r>
      <w:r w:rsidR="00CD5559">
        <w:t xml:space="preserve">he literature does not distinguish between CEO-Chairpersons who </w:t>
      </w:r>
      <w:r>
        <w:t>represent firms controlled by a single family</w:t>
      </w:r>
      <w:r w:rsidR="00CD5559">
        <w:t>, a gap addressed in this study.</w:t>
      </w:r>
    </w:p>
    <w:p w:rsidR="00CD5559" w:rsidRDefault="00CD5559" w:rsidP="00CD5559">
      <w:pPr>
        <w:pStyle w:val="BodyText"/>
        <w:spacing w:line="480" w:lineRule="auto"/>
        <w:ind w:firstLine="720"/>
        <w:jc w:val="both"/>
      </w:pPr>
      <w:r>
        <w:t>The models tested consider four firm states with the base case being non-family and no duality (</w:t>
      </w:r>
      <w:proofErr w:type="spellStart"/>
      <w:r>
        <w:t>NF</w:t>
      </w:r>
      <w:r w:rsidR="004A2D88">
        <w:t>x</w:t>
      </w:r>
      <w:r>
        <w:t>ND</w:t>
      </w:r>
      <w:proofErr w:type="spellEnd"/>
      <w:r>
        <w:t xml:space="preserve">; </w:t>
      </w:r>
      <w:proofErr w:type="spellStart"/>
      <w:r>
        <w:t>F</w:t>
      </w:r>
      <w:r w:rsidR="004A2D88">
        <w:t>x</w:t>
      </w:r>
      <w:r>
        <w:t>D</w:t>
      </w:r>
      <w:proofErr w:type="spellEnd"/>
      <w:r>
        <w:t xml:space="preserve">; </w:t>
      </w:r>
      <w:proofErr w:type="spellStart"/>
      <w:r>
        <w:t>F</w:t>
      </w:r>
      <w:r w:rsidR="004A2D88">
        <w:t>x</w:t>
      </w:r>
      <w:r w:rsidR="00AD629F">
        <w:t>N</w:t>
      </w:r>
      <w:r>
        <w:t>D</w:t>
      </w:r>
      <w:proofErr w:type="spellEnd"/>
      <w:r>
        <w:t xml:space="preserve">; and </w:t>
      </w:r>
      <w:proofErr w:type="spellStart"/>
      <w:r>
        <w:t>NF</w:t>
      </w:r>
      <w:r w:rsidR="004A2D88">
        <w:t>x</w:t>
      </w:r>
      <w:r>
        <w:t>D</w:t>
      </w:r>
      <w:proofErr w:type="spellEnd"/>
      <w:r>
        <w:t>). We find that family firms in the insurance industry are not small, though non-family firms are larger, and these family firms are consistently higher performers than non</w:t>
      </w:r>
      <w:r w:rsidR="00172474">
        <w:t>-</w:t>
      </w:r>
      <w:r>
        <w:t>family firms. However, a dual leadership structure in family firms reduces the benefits of family control by an amount that almost eliminates the performance advantage of the family firm over the non</w:t>
      </w:r>
      <w:r w:rsidR="00172474">
        <w:t>-</w:t>
      </w:r>
      <w:r>
        <w:t>family firm.</w:t>
      </w:r>
      <w:r w:rsidR="00235A67">
        <w:rPr>
          <w:rStyle w:val="FootnoteReference"/>
        </w:rPr>
        <w:footnoteReference w:id="27"/>
      </w:r>
      <w:r>
        <w:t xml:space="preserve"> </w:t>
      </w:r>
      <w:r w:rsidR="00235A67">
        <w:t>In all cases, family and duality firms outperform the base case</w:t>
      </w:r>
      <w:r>
        <w:t>.</w:t>
      </w:r>
      <w:r w:rsidR="00516FAE">
        <w:t xml:space="preserve"> </w:t>
      </w:r>
      <w:r>
        <w:t xml:space="preserve">Our findings support the positive family performance hypotheses of </w:t>
      </w:r>
      <w:proofErr w:type="spellStart"/>
      <w:r w:rsidRPr="001272BC">
        <w:t>Alchian</w:t>
      </w:r>
      <w:proofErr w:type="spellEnd"/>
      <w:r w:rsidRPr="001272BC">
        <w:t xml:space="preserve"> </w:t>
      </w:r>
      <w:r>
        <w:t>and</w:t>
      </w:r>
      <w:r w:rsidRPr="001272BC">
        <w:t xml:space="preserve"> </w:t>
      </w:r>
      <w:proofErr w:type="spellStart"/>
      <w:r w:rsidRPr="001272BC">
        <w:t>Demsetz</w:t>
      </w:r>
      <w:proofErr w:type="spellEnd"/>
      <w:r w:rsidRPr="001272BC">
        <w:t xml:space="preserve"> </w:t>
      </w:r>
      <w:r>
        <w:t>(</w:t>
      </w:r>
      <w:r w:rsidRPr="001272BC">
        <w:t>1972</w:t>
      </w:r>
      <w:r>
        <w:t xml:space="preserve">) but the findings also explain how conflicting empirical evidence, such as that of </w:t>
      </w:r>
      <w:proofErr w:type="spellStart"/>
      <w:r>
        <w:t>Shleifer</w:t>
      </w:r>
      <w:proofErr w:type="spellEnd"/>
      <w:r>
        <w:t xml:space="preserve"> and </w:t>
      </w:r>
      <w:proofErr w:type="spellStart"/>
      <w:r>
        <w:t>Vishny</w:t>
      </w:r>
      <w:proofErr w:type="spellEnd"/>
      <w:r>
        <w:t xml:space="preserve"> (</w:t>
      </w:r>
      <w:r w:rsidRPr="001272BC">
        <w:t>1997)</w:t>
      </w:r>
      <w:r>
        <w:t xml:space="preserve"> and Andres (</w:t>
      </w:r>
      <w:r w:rsidRPr="001272BC">
        <w:t>2008)</w:t>
      </w:r>
      <w:r>
        <w:t>,</w:t>
      </w:r>
      <w:r w:rsidRPr="006D66F5">
        <w:t xml:space="preserve"> </w:t>
      </w:r>
      <w:r>
        <w:t>has evolved</w:t>
      </w:r>
      <w:r w:rsidRPr="001272BC">
        <w:t>.</w:t>
      </w:r>
      <w:r w:rsidR="00516FAE">
        <w:t xml:space="preserve"> </w:t>
      </w:r>
      <w:r>
        <w:t xml:space="preserve">The variation in the findings of </w:t>
      </w:r>
      <w:r w:rsidR="00235A67">
        <w:t xml:space="preserve">different </w:t>
      </w:r>
      <w:r>
        <w:t xml:space="preserve">samples </w:t>
      </w:r>
      <w:r w:rsidR="00235A67">
        <w:t>may be attributable to the</w:t>
      </w:r>
      <w:r>
        <w:t xml:space="preserve"> composition of family-duality combinations.</w:t>
      </w:r>
    </w:p>
    <w:p w:rsidR="00CD5559" w:rsidRDefault="00235A67" w:rsidP="00CD5559">
      <w:pPr>
        <w:pStyle w:val="BodyText"/>
        <w:spacing w:line="480" w:lineRule="auto"/>
        <w:ind w:firstLine="720"/>
        <w:jc w:val="both"/>
        <w:rPr>
          <w:i/>
        </w:rPr>
      </w:pPr>
      <w:r>
        <w:t xml:space="preserve">We further find evidence that ownership patterns of large shareholders influence firm performance. </w:t>
      </w:r>
      <w:proofErr w:type="gramStart"/>
      <w:r w:rsidR="00CD5559">
        <w:t>An argument is often made that the benefit of investing through large fund aggregators is that i</w:t>
      </w:r>
      <w:r w:rsidR="00CD5559" w:rsidRPr="001272BC">
        <w:t xml:space="preserve">nstitutional investors, </w:t>
      </w:r>
      <w:r w:rsidR="00CD5559">
        <w:t xml:space="preserve">as </w:t>
      </w:r>
      <w:r w:rsidR="00CD5559" w:rsidRPr="001272BC">
        <w:t xml:space="preserve">large shareholders of </w:t>
      </w:r>
      <w:r w:rsidR="00CD5559">
        <w:t>a</w:t>
      </w:r>
      <w:r w:rsidR="00CD5559" w:rsidRPr="001272BC">
        <w:t xml:space="preserve"> firm, can </w:t>
      </w:r>
      <w:r w:rsidR="00CD5559">
        <w:t>more effectively monitor</w:t>
      </w:r>
      <w:r w:rsidR="00CD5559" w:rsidRPr="001272BC">
        <w:t xml:space="preserve"> management </w:t>
      </w:r>
      <w:r w:rsidR="00CD5559">
        <w:t>and</w:t>
      </w:r>
      <w:r w:rsidR="00CD5559" w:rsidRPr="001272BC">
        <w:t xml:space="preserve"> protecting minority shareholder</w:t>
      </w:r>
      <w:r w:rsidR="00CD5559">
        <w:t>s from value expropriation by managers (Pound 1991; Black 1992)</w:t>
      </w:r>
      <w:proofErr w:type="gramEnd"/>
      <w:r w:rsidR="00CD5559" w:rsidRPr="001272BC">
        <w:t xml:space="preserve">. </w:t>
      </w:r>
      <w:r w:rsidR="00CD5559">
        <w:t xml:space="preserve">The large growth in funds under management by such firms suggests that many expect their returns from such fund managers to be no worse than is generally available in the market. For this reason we consider the hypothesis that firm performance is higher for firms with higher percentages of </w:t>
      </w:r>
      <w:proofErr w:type="spellStart"/>
      <w:r w:rsidR="00CD5559">
        <w:t>blockholder</w:t>
      </w:r>
      <w:proofErr w:type="spellEnd"/>
      <w:r w:rsidR="00CD5559">
        <w:t xml:space="preserve"> ownership despite evidence that a relationship between </w:t>
      </w:r>
      <w:proofErr w:type="spellStart"/>
      <w:r w:rsidR="00CD5559">
        <w:t>blockholder</w:t>
      </w:r>
      <w:proofErr w:type="spellEnd"/>
      <w:r w:rsidR="00CD5559">
        <w:t xml:space="preserve"> holdings and firm performance is weak (</w:t>
      </w:r>
      <w:r w:rsidR="00CD5559" w:rsidRPr="001272BC">
        <w:t xml:space="preserve">Cornett </w:t>
      </w:r>
      <w:r w:rsidR="00CD5559" w:rsidRPr="001272BC">
        <w:rPr>
          <w:i/>
        </w:rPr>
        <w:t>et al</w:t>
      </w:r>
      <w:r w:rsidR="00CD5559">
        <w:t>. 2007</w:t>
      </w:r>
      <w:r w:rsidR="00CD5559" w:rsidRPr="001272BC">
        <w:t>)</w:t>
      </w:r>
      <w:r w:rsidR="00CD5559">
        <w:t xml:space="preserve">. Empirical support for the monitoring argument </w:t>
      </w:r>
      <w:r w:rsidR="00CD5559" w:rsidRPr="001272BC">
        <w:t xml:space="preserve">is </w:t>
      </w:r>
      <w:r w:rsidR="00CD5559">
        <w:t>also weak</w:t>
      </w:r>
      <w:r w:rsidR="00CD5559" w:rsidRPr="001272BC">
        <w:t xml:space="preserve">; investments </w:t>
      </w:r>
      <w:r w:rsidR="00CD5559" w:rsidRPr="001272BC">
        <w:lastRenderedPageBreak/>
        <w:t xml:space="preserve">by large </w:t>
      </w:r>
      <w:r w:rsidR="00CD5559">
        <w:t>fund managers</w:t>
      </w:r>
      <w:r w:rsidR="00CD5559" w:rsidRPr="001272BC">
        <w:t xml:space="preserve"> tend to be persistent over time providing support for </w:t>
      </w:r>
      <w:r w:rsidR="00CD5559">
        <w:t xml:space="preserve">firm </w:t>
      </w:r>
      <w:r w:rsidR="00CD5559" w:rsidRPr="001272BC">
        <w:t>management</w:t>
      </w:r>
      <w:r w:rsidR="00CD5559">
        <w:t>.</w:t>
      </w:r>
      <w:r w:rsidR="00CD5559" w:rsidRPr="001272BC">
        <w:t xml:space="preserve"> </w:t>
      </w:r>
      <w:r w:rsidR="00CD5559">
        <w:t>R</w:t>
      </w:r>
      <w:r w:rsidR="00CD5559" w:rsidRPr="001272BC">
        <w:t>ather than posing a threat in the face of poor performance</w:t>
      </w:r>
      <w:r w:rsidR="00CD5559">
        <w:t>,</w:t>
      </w:r>
      <w:r w:rsidR="00CD5559" w:rsidRPr="00216559">
        <w:t xml:space="preserve"> </w:t>
      </w:r>
      <w:r w:rsidR="00CD5559" w:rsidRPr="001272BC">
        <w:t xml:space="preserve">corporate expenses, such as CEO compensation, tend to be higher in the presence of </w:t>
      </w:r>
      <w:proofErr w:type="spellStart"/>
      <w:r w:rsidR="00CD5559" w:rsidRPr="001272BC">
        <w:t>blockholder</w:t>
      </w:r>
      <w:proofErr w:type="spellEnd"/>
      <w:r w:rsidR="00CD5559" w:rsidRPr="001272BC">
        <w:t xml:space="preserve"> involvement</w:t>
      </w:r>
      <w:r w:rsidR="00CD5559">
        <w:t xml:space="preserve"> (</w:t>
      </w:r>
      <w:proofErr w:type="spellStart"/>
      <w:r w:rsidR="00CD5559">
        <w:t>Mehran</w:t>
      </w:r>
      <w:proofErr w:type="spellEnd"/>
      <w:r w:rsidR="00CD5559">
        <w:t xml:space="preserve"> 1995)</w:t>
      </w:r>
      <w:r w:rsidR="00CD5559" w:rsidRPr="001272BC">
        <w:t>.</w:t>
      </w:r>
    </w:p>
    <w:p w:rsidR="00CD5559" w:rsidRPr="00CD0337" w:rsidRDefault="00CD5559" w:rsidP="00CD5559">
      <w:pPr>
        <w:pStyle w:val="BodyText"/>
        <w:spacing w:line="480" w:lineRule="auto"/>
        <w:ind w:firstLine="720"/>
        <w:jc w:val="both"/>
        <w:rPr>
          <w:i/>
        </w:rPr>
      </w:pPr>
      <w:r>
        <w:t xml:space="preserve">Contrary to our expectations, our findings are consistent with the existing literature; as ownership of a firm by large </w:t>
      </w:r>
      <w:proofErr w:type="spellStart"/>
      <w:r>
        <w:t>blockholders</w:t>
      </w:r>
      <w:proofErr w:type="spellEnd"/>
      <w:r>
        <w:t xml:space="preserve"> increases, performance falls. An</w:t>
      </w:r>
      <w:r w:rsidRPr="001272BC">
        <w:t xml:space="preserve"> </w:t>
      </w:r>
      <w:r>
        <w:t xml:space="preserve">important caution of this result is necessary. Large </w:t>
      </w:r>
      <w:proofErr w:type="spellStart"/>
      <w:r>
        <w:t>blockholder</w:t>
      </w:r>
      <w:proofErr w:type="spellEnd"/>
      <w:r>
        <w:t xml:space="preserve"> data is subject to an</w:t>
      </w:r>
      <w:r w:rsidRPr="001272BC">
        <w:t xml:space="preserve"> unavoidable measurement difficulty</w:t>
      </w:r>
      <w:r>
        <w:t>;</w:t>
      </w:r>
      <w:r w:rsidRPr="001272BC">
        <w:t xml:space="preserve"> some institutional investors own controlling interests in our sample firms but at a level below </w:t>
      </w:r>
      <w:r w:rsidR="00235A67">
        <w:t xml:space="preserve">five </w:t>
      </w:r>
      <w:r>
        <w:t>percent</w:t>
      </w:r>
      <w:r w:rsidRPr="001272BC">
        <w:t>.</w:t>
      </w:r>
      <w:r>
        <w:t xml:space="preserve"> </w:t>
      </w:r>
      <w:proofErr w:type="gramStart"/>
      <w:r>
        <w:t>Also</w:t>
      </w:r>
      <w:proofErr w:type="gramEnd"/>
      <w:r>
        <w:t xml:space="preserve">, recent studies have </w:t>
      </w:r>
      <w:r w:rsidR="00235A67">
        <w:t>posited that large</w:t>
      </w:r>
      <w:r>
        <w:t xml:space="preserve"> investors</w:t>
      </w:r>
      <w:r w:rsidR="00235A67">
        <w:t xml:space="preserve"> are more interested</w:t>
      </w:r>
      <w:r>
        <w:t xml:space="preserve"> in industry performance rather than in the relative performance of</w:t>
      </w:r>
      <w:r w:rsidR="00235A67">
        <w:t xml:space="preserve"> a</w:t>
      </w:r>
      <w:r>
        <w:t xml:space="preserve"> particular </w:t>
      </w:r>
      <w:r w:rsidR="00235A67">
        <w:t>firm</w:t>
      </w:r>
      <w:r>
        <w:t xml:space="preserve">. </w:t>
      </w:r>
      <w:r w:rsidR="00235A67">
        <w:t>S</w:t>
      </w:r>
      <w:r>
        <w:t>ome empirical evidence is presented using a particular firm, Blackrock, as a source of coordination between firms (</w:t>
      </w:r>
      <w:proofErr w:type="spellStart"/>
      <w:r>
        <w:t>Azur</w:t>
      </w:r>
      <w:proofErr w:type="spellEnd"/>
      <w:r>
        <w:t xml:space="preserve"> 2015) but </w:t>
      </w:r>
      <w:proofErr w:type="gramStart"/>
      <w:r>
        <w:t>more popular speculations</w:t>
      </w:r>
      <w:proofErr w:type="gramEnd"/>
      <w:r>
        <w:t xml:space="preserve"> suggest that small groups of firms may combine to attempt coordination</w:t>
      </w:r>
      <w:r w:rsidR="00516FAE">
        <w:t xml:space="preserve"> </w:t>
      </w:r>
      <w:r>
        <w:t xml:space="preserve">(Economist 2016). For this reason we test for the influence of Blackrock and find, consistent with </w:t>
      </w:r>
      <w:proofErr w:type="spellStart"/>
      <w:r>
        <w:t>Azur</w:t>
      </w:r>
      <w:proofErr w:type="spellEnd"/>
      <w:r>
        <w:t>, higher performance of firms where Blackrock is a significant owner. This result is also possible if Blackrock has more skill anticipating which firms will outperform the market, something we hesitate to suggest, or if they are better monitors than are other fund management firms</w:t>
      </w:r>
      <w:r w:rsidR="00235A67">
        <w:t>,</w:t>
      </w:r>
      <w:r>
        <w:t xml:space="preserve"> and that activity translates to performance gains.</w:t>
      </w:r>
    </w:p>
    <w:p w:rsidR="00CD5559" w:rsidRPr="00832165" w:rsidRDefault="00CD5559" w:rsidP="00CD5559">
      <w:pPr>
        <w:pStyle w:val="BodyText"/>
        <w:spacing w:line="480" w:lineRule="auto"/>
        <w:ind w:firstLine="720"/>
        <w:jc w:val="both"/>
        <w:rPr>
          <w:i/>
        </w:rPr>
      </w:pPr>
      <w:r>
        <w:rPr>
          <w:color w:val="232323"/>
        </w:rPr>
        <w:t xml:space="preserve">Higher percentages of nonfamily director and </w:t>
      </w:r>
      <w:r w:rsidRPr="00A15A48">
        <w:rPr>
          <w:color w:val="232323"/>
        </w:rPr>
        <w:t>managerial ownership</w:t>
      </w:r>
      <w:r>
        <w:rPr>
          <w:color w:val="232323"/>
        </w:rPr>
        <w:t xml:space="preserve"> </w:t>
      </w:r>
      <w:proofErr w:type="gramStart"/>
      <w:r>
        <w:rPr>
          <w:color w:val="232323"/>
        </w:rPr>
        <w:t>are hypothesized</w:t>
      </w:r>
      <w:proofErr w:type="gramEnd"/>
      <w:r>
        <w:rPr>
          <w:color w:val="232323"/>
        </w:rPr>
        <w:t xml:space="preserve"> to align</w:t>
      </w:r>
      <w:r w:rsidRPr="00A15A48">
        <w:rPr>
          <w:color w:val="232323"/>
        </w:rPr>
        <w:t xml:space="preserve"> the interests of </w:t>
      </w:r>
      <w:r>
        <w:rPr>
          <w:color w:val="232323"/>
        </w:rPr>
        <w:t xml:space="preserve">managers and non-insider </w:t>
      </w:r>
      <w:r w:rsidRPr="00A15A48">
        <w:rPr>
          <w:color w:val="232323"/>
        </w:rPr>
        <w:t>shareholders</w:t>
      </w:r>
      <w:r>
        <w:rPr>
          <w:color w:val="232323"/>
        </w:rPr>
        <w:t xml:space="preserve"> (</w:t>
      </w:r>
      <w:proofErr w:type="spellStart"/>
      <w:r>
        <w:rPr>
          <w:color w:val="232323"/>
        </w:rPr>
        <w:t>Fahlenbrach</w:t>
      </w:r>
      <w:proofErr w:type="spellEnd"/>
      <w:r>
        <w:rPr>
          <w:color w:val="232323"/>
        </w:rPr>
        <w:t xml:space="preserve"> </w:t>
      </w:r>
      <w:r w:rsidR="00D2515D">
        <w:rPr>
          <w:color w:val="232323"/>
        </w:rPr>
        <w:t>and</w:t>
      </w:r>
      <w:r>
        <w:rPr>
          <w:color w:val="232323"/>
        </w:rPr>
        <w:t xml:space="preserve"> </w:t>
      </w:r>
      <w:proofErr w:type="spellStart"/>
      <w:r>
        <w:rPr>
          <w:color w:val="232323"/>
        </w:rPr>
        <w:t>Stulz</w:t>
      </w:r>
      <w:proofErr w:type="spellEnd"/>
      <w:r>
        <w:rPr>
          <w:color w:val="232323"/>
        </w:rPr>
        <w:t xml:space="preserve"> 2009)</w:t>
      </w:r>
      <w:r w:rsidRPr="00A15A48">
        <w:rPr>
          <w:color w:val="232323"/>
        </w:rPr>
        <w:t>.</w:t>
      </w:r>
      <w:r w:rsidR="00516FAE">
        <w:rPr>
          <w:color w:val="232323"/>
        </w:rPr>
        <w:t xml:space="preserve"> </w:t>
      </w:r>
      <w:r>
        <w:rPr>
          <w:color w:val="232323"/>
        </w:rPr>
        <w:t>We do not find evidence in support of this hypothesis. The finding, perhaps, is influenced by the fact that when family-directors and non-family directors are separated, the remaining D&amp;O percentages are very low; the percentage median is 2 percent for the sample.</w:t>
      </w:r>
    </w:p>
    <w:p w:rsidR="00CD5559" w:rsidRDefault="003B4664" w:rsidP="00CD5559">
      <w:pPr>
        <w:pStyle w:val="BodyText"/>
        <w:spacing w:line="480" w:lineRule="auto"/>
        <w:ind w:firstLine="720"/>
        <w:jc w:val="both"/>
        <w:rPr>
          <w:i/>
        </w:rPr>
      </w:pPr>
      <w:r>
        <w:t xml:space="preserve">Prior literature suggests that </w:t>
      </w:r>
      <w:r w:rsidR="00CD5559" w:rsidRPr="001272BC">
        <w:t xml:space="preserve">CEOs at firms with agency problems extract </w:t>
      </w:r>
      <w:r w:rsidR="00CD5559">
        <w:t>higher</w:t>
      </w:r>
      <w:r w:rsidR="00CD5559" w:rsidRPr="001272BC">
        <w:t xml:space="preserve"> compensation</w:t>
      </w:r>
      <w:r w:rsidR="00E60A5A">
        <w:t>s</w:t>
      </w:r>
      <w:r>
        <w:t xml:space="preserve"> but that greater forward-looking compensation helps enhance performance</w:t>
      </w:r>
      <w:r w:rsidR="00CD5559">
        <w:t xml:space="preserve"> (</w:t>
      </w:r>
      <w:r w:rsidR="00CD5559" w:rsidRPr="001272BC">
        <w:t xml:space="preserve">Core </w:t>
      </w:r>
      <w:r w:rsidR="00CD5559" w:rsidRPr="001E163F">
        <w:rPr>
          <w:i/>
        </w:rPr>
        <w:lastRenderedPageBreak/>
        <w:t>et al.</w:t>
      </w:r>
      <w:r w:rsidR="00CD5559">
        <w:t xml:space="preserve"> </w:t>
      </w:r>
      <w:r w:rsidR="00CD5559" w:rsidRPr="001272BC">
        <w:t>1999)</w:t>
      </w:r>
      <w:r w:rsidR="00CD5559">
        <w:t>.</w:t>
      </w:r>
      <w:r w:rsidR="00CD5559" w:rsidRPr="001272BC">
        <w:t xml:space="preserve"> </w:t>
      </w:r>
      <w:r w:rsidR="00516FAE">
        <w:t xml:space="preserve"> </w:t>
      </w:r>
      <w:r>
        <w:t xml:space="preserve">A more recent study, </w:t>
      </w:r>
      <w:proofErr w:type="spellStart"/>
      <w:r>
        <w:t>Gillan</w:t>
      </w:r>
      <w:proofErr w:type="spellEnd"/>
      <w:r>
        <w:t xml:space="preserve"> (2006), also finds a positive relation between performance and forward compensation as well as current compensation. Our findings are consistent with those of </w:t>
      </w:r>
      <w:proofErr w:type="spellStart"/>
      <w:r>
        <w:t>Gillan</w:t>
      </w:r>
      <w:proofErr w:type="spellEnd"/>
      <w:r>
        <w:t>.</w:t>
      </w:r>
    </w:p>
    <w:p w:rsidR="00CD5559" w:rsidRPr="008A622D" w:rsidRDefault="00CD5559" w:rsidP="00CD5559">
      <w:pPr>
        <w:pStyle w:val="BodyText"/>
        <w:spacing w:line="480" w:lineRule="auto"/>
        <w:ind w:firstLine="720"/>
        <w:jc w:val="both"/>
        <w:rPr>
          <w:rFonts w:eastAsiaTheme="minorHAnsi"/>
        </w:rPr>
      </w:pPr>
      <w:r>
        <w:t>Debt, a common measure of the firm’s use of other people’s money, introduces another governance monitoring influence. Debt</w:t>
      </w:r>
      <w:r w:rsidRPr="001272BC">
        <w:t xml:space="preserve"> impos</w:t>
      </w:r>
      <w:r>
        <w:t>es</w:t>
      </w:r>
      <w:r w:rsidRPr="001272BC">
        <w:t xml:space="preserve"> fixed obligations on corporate cash flow</w:t>
      </w:r>
      <w:r>
        <w:t xml:space="preserve"> and consequently</w:t>
      </w:r>
      <w:r w:rsidRPr="001C5112">
        <w:rPr>
          <w:rFonts w:eastAsiaTheme="minorHAnsi"/>
        </w:rPr>
        <w:t xml:space="preserve"> is </w:t>
      </w:r>
      <w:r>
        <w:rPr>
          <w:rFonts w:eastAsiaTheme="minorHAnsi"/>
        </w:rPr>
        <w:t>expected to restrict</w:t>
      </w:r>
      <w:r w:rsidRPr="001C5112">
        <w:rPr>
          <w:rFonts w:eastAsiaTheme="minorHAnsi"/>
        </w:rPr>
        <w:t xml:space="preserve"> future firm performance</w:t>
      </w:r>
      <w:r>
        <w:rPr>
          <w:rFonts w:eastAsiaTheme="minorHAnsi"/>
        </w:rPr>
        <w:t xml:space="preserve"> relative to an otherwise similar firm with a higher ratio of equity to debt </w:t>
      </w:r>
      <w:r>
        <w:t>(</w:t>
      </w:r>
      <w:r w:rsidRPr="001272BC">
        <w:t>J</w:t>
      </w:r>
      <w:r>
        <w:t xml:space="preserve">ensen </w:t>
      </w:r>
      <w:r w:rsidR="00D2515D">
        <w:t>and</w:t>
      </w:r>
      <w:r>
        <w:t xml:space="preserve"> </w:t>
      </w:r>
      <w:proofErr w:type="spellStart"/>
      <w:r>
        <w:t>Meckling</w:t>
      </w:r>
      <w:proofErr w:type="spellEnd"/>
      <w:r>
        <w:t xml:space="preserve"> 1976)</w:t>
      </w:r>
      <w:r w:rsidRPr="001C5112">
        <w:rPr>
          <w:rFonts w:eastAsiaTheme="minorHAnsi"/>
        </w:rPr>
        <w:t xml:space="preserve">. </w:t>
      </w:r>
      <w:r>
        <w:rPr>
          <w:rFonts w:eastAsiaTheme="minorHAnsi"/>
        </w:rPr>
        <w:t>We correct for variation in firm performance associated with this governanc</w:t>
      </w:r>
      <w:r w:rsidRPr="001C5112">
        <w:rPr>
          <w:rFonts w:eastAsiaTheme="minorHAnsi"/>
        </w:rPr>
        <w:t xml:space="preserve">e </w:t>
      </w:r>
      <w:r>
        <w:rPr>
          <w:rFonts w:eastAsiaTheme="minorHAnsi"/>
        </w:rPr>
        <w:t xml:space="preserve">characteristic and find a negative relationship in all models involving our full sample. The last two columns in Table restrict the sample to non-family firms; in one of these models the variable is positive, in the other it is not significant. </w:t>
      </w:r>
    </w:p>
    <w:p w:rsidR="00CD5559" w:rsidRDefault="00CD5559" w:rsidP="00CD5559">
      <w:pPr>
        <w:pStyle w:val="BodyText"/>
        <w:spacing w:line="480" w:lineRule="auto"/>
        <w:ind w:firstLine="720"/>
        <w:jc w:val="both"/>
      </w:pPr>
      <w:r>
        <w:t>The credibility of o</w:t>
      </w:r>
      <w:r w:rsidRPr="001272BC">
        <w:t xml:space="preserve">ur results </w:t>
      </w:r>
      <w:r>
        <w:t>is high</w:t>
      </w:r>
      <w:r w:rsidRPr="001272BC">
        <w:t xml:space="preserve"> given the nature of the industry we study. </w:t>
      </w:r>
      <w:r w:rsidR="003B4664">
        <w:t>Insurance i</w:t>
      </w:r>
      <w:r>
        <w:t>ndustry r</w:t>
      </w:r>
      <w:r w:rsidRPr="001272BC">
        <w:t>egulat</w:t>
      </w:r>
      <w:r>
        <w:t>ions</w:t>
      </w:r>
      <w:r w:rsidRPr="001272BC">
        <w:t xml:space="preserve"> </w:t>
      </w:r>
      <w:r>
        <w:t>include those that affect</w:t>
      </w:r>
      <w:r w:rsidRPr="001272BC">
        <w:t xml:space="preserve"> operational risk taking, investment risk, and debt issuance. The finding that</w:t>
      </w:r>
      <w:r w:rsidR="003B4664">
        <w:t>,</w:t>
      </w:r>
      <w:r w:rsidRPr="001272BC">
        <w:t xml:space="preserve"> </w:t>
      </w:r>
      <w:r>
        <w:t>despite controls limit</w:t>
      </w:r>
      <w:r w:rsidR="00D87311">
        <w:t>ing the</w:t>
      </w:r>
      <w:r>
        <w:t xml:space="preserve"> downside performance of firms in the </w:t>
      </w:r>
      <w:r w:rsidR="00D87311">
        <w:t xml:space="preserve">insurance </w:t>
      </w:r>
      <w:r>
        <w:t>industry</w:t>
      </w:r>
      <w:r w:rsidR="003B4664">
        <w:t>,</w:t>
      </w:r>
      <w:r>
        <w:t xml:space="preserve"> </w:t>
      </w:r>
      <w:r w:rsidRPr="001272BC">
        <w:t xml:space="preserve">family-controlled firms outperform non-family </w:t>
      </w:r>
      <w:proofErr w:type="gramStart"/>
      <w:r w:rsidRPr="001272BC">
        <w:t>firms</w:t>
      </w:r>
      <w:r w:rsidR="00D87311">
        <w:t>,</w:t>
      </w:r>
      <w:proofErr w:type="gramEnd"/>
      <w:r w:rsidRPr="001272BC">
        <w:t xml:space="preserve"> provides strong evidence for the stewardship hypothesis. Managers and directors of these firms </w:t>
      </w:r>
      <w:r w:rsidR="00D87311">
        <w:t xml:space="preserve">are more motivated toward the success of the firm than are nonfamily firm managers and directors. If the hypothesized negative effects of nepotism and an associated inefficiency are real, the higher utility of family managers offsets the negative influences. An equally important contribution of the paper is the evidence that </w:t>
      </w:r>
      <w:r w:rsidR="008C2CB5">
        <w:t xml:space="preserve">understanding the complete </w:t>
      </w:r>
      <w:r w:rsidR="00D87311">
        <w:t xml:space="preserve">ownership structure of firms is important to understand </w:t>
      </w:r>
      <w:r w:rsidR="008C2CB5">
        <w:t>the firm’s performance and perhaps that of the industry as well</w:t>
      </w:r>
      <w:r w:rsidR="00D87311">
        <w:t>.</w:t>
      </w:r>
    </w:p>
    <w:p w:rsidR="00D824D7" w:rsidRPr="001272BC" w:rsidRDefault="00D824D7" w:rsidP="00204819">
      <w:pPr>
        <w:pStyle w:val="BodyText"/>
        <w:spacing w:line="480" w:lineRule="auto"/>
        <w:ind w:firstLine="720"/>
        <w:jc w:val="both"/>
        <w:rPr>
          <w:b/>
          <w:smallCaps/>
        </w:rPr>
      </w:pPr>
      <w:r w:rsidRPr="001272BC">
        <w:rPr>
          <w:b/>
          <w:smallCaps/>
        </w:rPr>
        <w:br w:type="page"/>
      </w:r>
    </w:p>
    <w:p w:rsidR="008B6B0C" w:rsidRPr="00980732" w:rsidRDefault="008B6B0C" w:rsidP="008B6B0C">
      <w:pPr>
        <w:rPr>
          <w:rFonts w:eastAsia="Times New Roman"/>
          <w:b/>
          <w:smallCaps/>
          <w:color w:val="030303"/>
          <w:sz w:val="22"/>
        </w:rPr>
      </w:pPr>
      <w:r w:rsidRPr="00980732">
        <w:rPr>
          <w:rFonts w:eastAsia="Times New Roman"/>
          <w:b/>
          <w:smallCaps/>
          <w:color w:val="030303"/>
          <w:sz w:val="22"/>
        </w:rPr>
        <w:lastRenderedPageBreak/>
        <w:t>Table 1</w:t>
      </w:r>
    </w:p>
    <w:p w:rsidR="008B6B0C" w:rsidRPr="00980732" w:rsidRDefault="008B6B0C" w:rsidP="008B6B0C">
      <w:pPr>
        <w:rPr>
          <w:sz w:val="22"/>
        </w:rPr>
      </w:pPr>
      <w:r w:rsidRPr="00980732">
        <w:rPr>
          <w:rFonts w:eastAsia="Times New Roman"/>
          <w:color w:val="030303"/>
          <w:sz w:val="22"/>
        </w:rPr>
        <w:t>Variable Definitions and Descriptive Statistics (N = 702)</w:t>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18"/>
        <w:gridCol w:w="2610"/>
        <w:gridCol w:w="1073"/>
        <w:gridCol w:w="866"/>
        <w:gridCol w:w="972"/>
        <w:gridCol w:w="833"/>
        <w:gridCol w:w="1116"/>
        <w:gridCol w:w="966"/>
      </w:tblGrid>
      <w:tr w:rsidR="008B6B0C" w:rsidRPr="00BB5AF0" w:rsidTr="001C5112">
        <w:trPr>
          <w:trHeight w:val="300"/>
        </w:trPr>
        <w:tc>
          <w:tcPr>
            <w:tcW w:w="1818" w:type="dxa"/>
            <w:tcBorders>
              <w:top w:val="single" w:sz="4" w:space="0" w:color="auto"/>
              <w:bottom w:val="single" w:sz="4" w:space="0" w:color="auto"/>
            </w:tcBorders>
            <w:noWrap/>
            <w:vAlign w:val="center"/>
            <w:hideMark/>
          </w:tcPr>
          <w:p w:rsidR="008B6B0C" w:rsidRPr="003E67CF" w:rsidRDefault="008B6B0C" w:rsidP="00A612AD">
            <w:pPr>
              <w:jc w:val="center"/>
              <w:rPr>
                <w:rFonts w:eastAsia="Times New Roman"/>
                <w:b/>
                <w:bCs/>
                <w:color w:val="000000"/>
                <w:sz w:val="20"/>
                <w:szCs w:val="20"/>
              </w:rPr>
            </w:pPr>
            <w:r w:rsidRPr="003E67CF">
              <w:rPr>
                <w:rFonts w:eastAsia="Times New Roman"/>
                <w:b/>
                <w:bCs/>
                <w:color w:val="000000"/>
                <w:sz w:val="20"/>
                <w:szCs w:val="20"/>
              </w:rPr>
              <w:t>Variable Name</w:t>
            </w:r>
          </w:p>
        </w:tc>
        <w:tc>
          <w:tcPr>
            <w:tcW w:w="2610" w:type="dxa"/>
            <w:tcBorders>
              <w:top w:val="single" w:sz="4" w:space="0" w:color="auto"/>
              <w:bottom w:val="single" w:sz="4" w:space="0" w:color="auto"/>
            </w:tcBorders>
            <w:noWrap/>
            <w:vAlign w:val="center"/>
            <w:hideMark/>
          </w:tcPr>
          <w:p w:rsidR="008B6B0C" w:rsidRPr="003E67CF" w:rsidRDefault="008B6B0C" w:rsidP="00A612AD">
            <w:pPr>
              <w:jc w:val="center"/>
              <w:rPr>
                <w:rFonts w:eastAsia="Times New Roman"/>
                <w:b/>
                <w:bCs/>
                <w:color w:val="000000"/>
                <w:sz w:val="20"/>
                <w:szCs w:val="20"/>
              </w:rPr>
            </w:pPr>
            <w:r w:rsidRPr="003E67CF">
              <w:rPr>
                <w:rFonts w:eastAsia="Times New Roman"/>
                <w:b/>
                <w:bCs/>
                <w:color w:val="000000"/>
                <w:sz w:val="20"/>
                <w:szCs w:val="20"/>
              </w:rPr>
              <w:t>Definition</w:t>
            </w:r>
          </w:p>
        </w:tc>
        <w:tc>
          <w:tcPr>
            <w:tcW w:w="1073" w:type="dxa"/>
            <w:tcBorders>
              <w:top w:val="single" w:sz="4" w:space="0" w:color="auto"/>
              <w:bottom w:val="single" w:sz="4" w:space="0" w:color="auto"/>
            </w:tcBorders>
          </w:tcPr>
          <w:p w:rsidR="008B6B0C" w:rsidRDefault="008B6B0C" w:rsidP="00A612AD">
            <w:pPr>
              <w:jc w:val="center"/>
              <w:rPr>
                <w:rFonts w:eastAsia="Times New Roman"/>
                <w:b/>
                <w:bCs/>
                <w:color w:val="000000"/>
                <w:sz w:val="20"/>
                <w:szCs w:val="20"/>
              </w:rPr>
            </w:pPr>
            <w:r>
              <w:rPr>
                <w:rFonts w:eastAsia="Times New Roman"/>
                <w:b/>
                <w:bCs/>
                <w:color w:val="000000"/>
                <w:sz w:val="20"/>
                <w:szCs w:val="20"/>
              </w:rPr>
              <w:t xml:space="preserve">Expected </w:t>
            </w:r>
          </w:p>
          <w:p w:rsidR="008B6B0C" w:rsidRPr="003E67CF" w:rsidRDefault="008B6B0C" w:rsidP="00A612AD">
            <w:pPr>
              <w:jc w:val="center"/>
              <w:rPr>
                <w:rFonts w:eastAsia="Times New Roman"/>
                <w:b/>
                <w:bCs/>
                <w:color w:val="000000"/>
                <w:sz w:val="20"/>
                <w:szCs w:val="20"/>
              </w:rPr>
            </w:pPr>
            <w:r>
              <w:rPr>
                <w:rFonts w:eastAsia="Times New Roman"/>
                <w:b/>
                <w:bCs/>
                <w:color w:val="000000"/>
                <w:sz w:val="20"/>
                <w:szCs w:val="20"/>
              </w:rPr>
              <w:t>Sign</w:t>
            </w:r>
          </w:p>
        </w:tc>
        <w:tc>
          <w:tcPr>
            <w:tcW w:w="866" w:type="dxa"/>
            <w:tcBorders>
              <w:top w:val="single" w:sz="4" w:space="0" w:color="auto"/>
              <w:bottom w:val="single" w:sz="4" w:space="0" w:color="auto"/>
            </w:tcBorders>
            <w:noWrap/>
            <w:vAlign w:val="center"/>
            <w:hideMark/>
          </w:tcPr>
          <w:p w:rsidR="008B6B0C" w:rsidRPr="003E67CF" w:rsidRDefault="008B6B0C" w:rsidP="00A612AD">
            <w:pPr>
              <w:jc w:val="center"/>
              <w:rPr>
                <w:rFonts w:eastAsia="Times New Roman"/>
                <w:b/>
                <w:bCs/>
                <w:color w:val="000000"/>
                <w:sz w:val="20"/>
                <w:szCs w:val="20"/>
              </w:rPr>
            </w:pPr>
            <w:r w:rsidRPr="003E67CF">
              <w:rPr>
                <w:rFonts w:eastAsia="Times New Roman"/>
                <w:b/>
                <w:bCs/>
                <w:color w:val="000000"/>
                <w:sz w:val="20"/>
                <w:szCs w:val="20"/>
              </w:rPr>
              <w:t>Mean</w:t>
            </w:r>
          </w:p>
        </w:tc>
        <w:tc>
          <w:tcPr>
            <w:tcW w:w="972" w:type="dxa"/>
            <w:tcBorders>
              <w:top w:val="single" w:sz="4" w:space="0" w:color="auto"/>
              <w:bottom w:val="single" w:sz="4" w:space="0" w:color="auto"/>
            </w:tcBorders>
            <w:noWrap/>
            <w:vAlign w:val="center"/>
            <w:hideMark/>
          </w:tcPr>
          <w:p w:rsidR="008B6B0C" w:rsidRPr="003E67CF" w:rsidRDefault="008B6B0C" w:rsidP="00A612AD">
            <w:pPr>
              <w:jc w:val="center"/>
              <w:rPr>
                <w:rFonts w:eastAsia="Times New Roman"/>
                <w:b/>
                <w:bCs/>
                <w:color w:val="000000"/>
                <w:sz w:val="20"/>
                <w:szCs w:val="20"/>
              </w:rPr>
            </w:pPr>
            <w:r w:rsidRPr="00BB5AF0">
              <w:rPr>
                <w:rFonts w:eastAsia="Times New Roman"/>
                <w:b/>
                <w:bCs/>
                <w:color w:val="000000"/>
                <w:sz w:val="20"/>
                <w:szCs w:val="20"/>
              </w:rPr>
              <w:t>Median</w:t>
            </w:r>
          </w:p>
        </w:tc>
        <w:tc>
          <w:tcPr>
            <w:tcW w:w="833" w:type="dxa"/>
            <w:tcBorders>
              <w:top w:val="single" w:sz="4" w:space="0" w:color="auto"/>
              <w:bottom w:val="single" w:sz="4" w:space="0" w:color="auto"/>
            </w:tcBorders>
            <w:noWrap/>
            <w:vAlign w:val="center"/>
            <w:hideMark/>
          </w:tcPr>
          <w:p w:rsidR="008B6B0C" w:rsidRPr="003E67CF" w:rsidRDefault="008B6B0C" w:rsidP="00A612AD">
            <w:pPr>
              <w:jc w:val="center"/>
              <w:rPr>
                <w:rFonts w:eastAsia="Times New Roman"/>
                <w:b/>
                <w:bCs/>
                <w:color w:val="000000"/>
                <w:sz w:val="20"/>
                <w:szCs w:val="20"/>
              </w:rPr>
            </w:pPr>
            <w:r w:rsidRPr="00BB5AF0">
              <w:rPr>
                <w:rFonts w:eastAsia="Times New Roman"/>
                <w:b/>
                <w:bCs/>
                <w:color w:val="000000"/>
                <w:sz w:val="20"/>
                <w:szCs w:val="20"/>
              </w:rPr>
              <w:t>Min</w:t>
            </w:r>
          </w:p>
        </w:tc>
        <w:tc>
          <w:tcPr>
            <w:tcW w:w="1116" w:type="dxa"/>
            <w:tcBorders>
              <w:top w:val="single" w:sz="4" w:space="0" w:color="auto"/>
              <w:bottom w:val="single" w:sz="4" w:space="0" w:color="auto"/>
            </w:tcBorders>
            <w:noWrap/>
            <w:vAlign w:val="center"/>
            <w:hideMark/>
          </w:tcPr>
          <w:p w:rsidR="008B6B0C" w:rsidRPr="003E67CF" w:rsidRDefault="008B6B0C" w:rsidP="00A612AD">
            <w:pPr>
              <w:jc w:val="center"/>
              <w:rPr>
                <w:rFonts w:eastAsia="Times New Roman"/>
                <w:b/>
                <w:bCs/>
                <w:color w:val="000000"/>
                <w:sz w:val="20"/>
                <w:szCs w:val="20"/>
              </w:rPr>
            </w:pPr>
            <w:r w:rsidRPr="00BB5AF0">
              <w:rPr>
                <w:rFonts w:eastAsia="Times New Roman"/>
                <w:b/>
                <w:bCs/>
                <w:color w:val="000000"/>
                <w:sz w:val="20"/>
                <w:szCs w:val="20"/>
              </w:rPr>
              <w:t>Max</w:t>
            </w:r>
          </w:p>
        </w:tc>
        <w:tc>
          <w:tcPr>
            <w:tcW w:w="966" w:type="dxa"/>
            <w:tcBorders>
              <w:top w:val="single" w:sz="4" w:space="0" w:color="auto"/>
              <w:bottom w:val="single" w:sz="4" w:space="0" w:color="auto"/>
            </w:tcBorders>
            <w:noWrap/>
            <w:vAlign w:val="center"/>
            <w:hideMark/>
          </w:tcPr>
          <w:p w:rsidR="008B6B0C" w:rsidRPr="003E67CF" w:rsidRDefault="008B6B0C" w:rsidP="00A612AD">
            <w:pPr>
              <w:jc w:val="center"/>
              <w:rPr>
                <w:rFonts w:eastAsia="Times New Roman"/>
                <w:b/>
                <w:bCs/>
                <w:color w:val="000000"/>
                <w:sz w:val="20"/>
                <w:szCs w:val="20"/>
              </w:rPr>
            </w:pPr>
            <w:r w:rsidRPr="00BB5AF0">
              <w:rPr>
                <w:rFonts w:eastAsia="Times New Roman"/>
                <w:b/>
                <w:bCs/>
                <w:color w:val="000000"/>
                <w:sz w:val="20"/>
                <w:szCs w:val="20"/>
              </w:rPr>
              <w:t>S.D.</w:t>
            </w:r>
          </w:p>
        </w:tc>
      </w:tr>
      <w:tr w:rsidR="008B6B0C" w:rsidRPr="00BB5AF0" w:rsidTr="00A612AD">
        <w:trPr>
          <w:trHeight w:val="512"/>
        </w:trPr>
        <w:tc>
          <w:tcPr>
            <w:tcW w:w="10254" w:type="dxa"/>
            <w:gridSpan w:val="8"/>
            <w:tcBorders>
              <w:top w:val="single" w:sz="4" w:space="0" w:color="auto"/>
              <w:bottom w:val="single" w:sz="4" w:space="0" w:color="auto"/>
            </w:tcBorders>
            <w:noWrap/>
            <w:vAlign w:val="bottom"/>
            <w:hideMark/>
          </w:tcPr>
          <w:p w:rsidR="008B6B0C" w:rsidRDefault="008B6B0C" w:rsidP="00A612AD">
            <w:pPr>
              <w:rPr>
                <w:rFonts w:eastAsia="Times New Roman"/>
                <w:i/>
                <w:color w:val="000000"/>
                <w:sz w:val="20"/>
                <w:szCs w:val="20"/>
              </w:rPr>
            </w:pPr>
            <w:r w:rsidRPr="001C53A8">
              <w:rPr>
                <w:rFonts w:eastAsia="Times New Roman"/>
                <w:i/>
                <w:color w:val="000000"/>
                <w:sz w:val="20"/>
                <w:szCs w:val="20"/>
              </w:rPr>
              <w:t>Performance Variables</w:t>
            </w:r>
          </w:p>
          <w:p w:rsidR="008B6B0C" w:rsidRPr="001C53A8" w:rsidRDefault="008B6B0C" w:rsidP="00A612AD">
            <w:pPr>
              <w:rPr>
                <w:i/>
                <w:color w:val="000000"/>
                <w:sz w:val="20"/>
                <w:szCs w:val="20"/>
              </w:rPr>
            </w:pPr>
          </w:p>
        </w:tc>
      </w:tr>
      <w:tr w:rsidR="008B6B0C" w:rsidRPr="00BB5AF0" w:rsidTr="00B82F68">
        <w:trPr>
          <w:trHeight w:val="432"/>
        </w:trPr>
        <w:tc>
          <w:tcPr>
            <w:tcW w:w="1818" w:type="dxa"/>
            <w:tcBorders>
              <w:top w:val="single" w:sz="4" w:space="0" w:color="auto"/>
            </w:tcBorders>
            <w:noWrap/>
            <w:hideMark/>
          </w:tcPr>
          <w:p w:rsidR="008B6B0C" w:rsidRPr="003E67CF" w:rsidRDefault="008B6B0C" w:rsidP="004A2D88">
            <w:pPr>
              <w:rPr>
                <w:rFonts w:eastAsia="Times New Roman"/>
                <w:color w:val="000000"/>
                <w:sz w:val="20"/>
                <w:szCs w:val="20"/>
              </w:rPr>
            </w:pPr>
            <w:proofErr w:type="spellStart"/>
            <w:r w:rsidRPr="003E67CF">
              <w:rPr>
                <w:rFonts w:eastAsia="Times New Roman"/>
                <w:color w:val="000000"/>
                <w:sz w:val="20"/>
                <w:szCs w:val="20"/>
              </w:rPr>
              <w:t>Tobins</w:t>
            </w:r>
            <w:proofErr w:type="spellEnd"/>
            <w:r w:rsidRPr="003E67CF">
              <w:rPr>
                <w:rFonts w:eastAsia="Times New Roman"/>
                <w:color w:val="000000"/>
                <w:sz w:val="20"/>
                <w:szCs w:val="20"/>
              </w:rPr>
              <w:t xml:space="preserve"> q</w:t>
            </w:r>
          </w:p>
        </w:tc>
        <w:tc>
          <w:tcPr>
            <w:tcW w:w="2610" w:type="dxa"/>
            <w:tcBorders>
              <w:top w:val="single" w:sz="4" w:space="0" w:color="auto"/>
            </w:tcBorders>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Market to book value of equity</w:t>
            </w:r>
          </w:p>
        </w:tc>
        <w:tc>
          <w:tcPr>
            <w:tcW w:w="1073" w:type="dxa"/>
            <w:tcBorders>
              <w:top w:val="single" w:sz="4" w:space="0" w:color="auto"/>
            </w:tcBorders>
            <w:vAlign w:val="center"/>
          </w:tcPr>
          <w:p w:rsidR="008B6B0C" w:rsidRPr="00BB5AF0" w:rsidRDefault="008B6B0C" w:rsidP="00A612AD">
            <w:pPr>
              <w:jc w:val="center"/>
              <w:rPr>
                <w:color w:val="000000"/>
                <w:sz w:val="20"/>
                <w:szCs w:val="20"/>
              </w:rPr>
            </w:pPr>
            <w:r>
              <w:rPr>
                <w:color w:val="000000"/>
                <w:sz w:val="20"/>
                <w:szCs w:val="20"/>
              </w:rPr>
              <w:t>-</w:t>
            </w:r>
          </w:p>
        </w:tc>
        <w:tc>
          <w:tcPr>
            <w:tcW w:w="866" w:type="dxa"/>
            <w:tcBorders>
              <w:top w:val="single" w:sz="4" w:space="0" w:color="auto"/>
            </w:tcBorders>
            <w:noWrap/>
            <w:vAlign w:val="center"/>
            <w:hideMark/>
          </w:tcPr>
          <w:p w:rsidR="008B6B0C" w:rsidRPr="00BB5AF0" w:rsidRDefault="008B6B0C" w:rsidP="00A612AD">
            <w:pPr>
              <w:jc w:val="center"/>
              <w:rPr>
                <w:color w:val="000000"/>
                <w:sz w:val="20"/>
                <w:szCs w:val="20"/>
              </w:rPr>
            </w:pPr>
            <w:r w:rsidRPr="00BB5AF0">
              <w:rPr>
                <w:color w:val="000000"/>
                <w:sz w:val="20"/>
                <w:szCs w:val="20"/>
              </w:rPr>
              <w:t>1.159</w:t>
            </w:r>
          </w:p>
        </w:tc>
        <w:tc>
          <w:tcPr>
            <w:tcW w:w="972" w:type="dxa"/>
            <w:tcBorders>
              <w:top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1.038</w:t>
            </w:r>
          </w:p>
        </w:tc>
        <w:tc>
          <w:tcPr>
            <w:tcW w:w="833" w:type="dxa"/>
            <w:tcBorders>
              <w:top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0.137</w:t>
            </w:r>
          </w:p>
        </w:tc>
        <w:tc>
          <w:tcPr>
            <w:tcW w:w="1116" w:type="dxa"/>
            <w:tcBorders>
              <w:top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4.727</w:t>
            </w:r>
          </w:p>
        </w:tc>
        <w:tc>
          <w:tcPr>
            <w:tcW w:w="966" w:type="dxa"/>
            <w:tcBorders>
              <w:top w:val="single" w:sz="4" w:space="0" w:color="auto"/>
            </w:tcBorders>
            <w:noWrap/>
            <w:vAlign w:val="center"/>
            <w:hideMark/>
          </w:tcPr>
          <w:p w:rsidR="008B6B0C" w:rsidRPr="00BB5AF0" w:rsidRDefault="008B6B0C" w:rsidP="00A612AD">
            <w:pPr>
              <w:jc w:val="center"/>
              <w:rPr>
                <w:color w:val="000000"/>
                <w:sz w:val="20"/>
                <w:szCs w:val="20"/>
              </w:rPr>
            </w:pPr>
            <w:r w:rsidRPr="00BB5AF0">
              <w:rPr>
                <w:color w:val="000000"/>
                <w:sz w:val="20"/>
                <w:szCs w:val="20"/>
              </w:rPr>
              <w:t>0.561</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LN</w:t>
            </w:r>
            <w:r w:rsidR="00FD408F">
              <w:rPr>
                <w:rFonts w:eastAsia="Times New Roman"/>
                <w:color w:val="000000"/>
                <w:sz w:val="20"/>
                <w:szCs w:val="20"/>
              </w:rPr>
              <w:t>(</w:t>
            </w:r>
            <w:proofErr w:type="spellStart"/>
            <w:r w:rsidRPr="003E67CF">
              <w:rPr>
                <w:rFonts w:eastAsia="Times New Roman"/>
                <w:color w:val="000000"/>
                <w:sz w:val="20"/>
                <w:szCs w:val="20"/>
              </w:rPr>
              <w:t>Tobins</w:t>
            </w:r>
            <w:proofErr w:type="spellEnd"/>
            <w:r w:rsidRPr="003E67CF">
              <w:rPr>
                <w:rFonts w:eastAsia="Times New Roman"/>
                <w:color w:val="000000"/>
                <w:sz w:val="20"/>
                <w:szCs w:val="20"/>
              </w:rPr>
              <w:t xml:space="preserve"> q</w:t>
            </w:r>
            <w:r w:rsidR="00FD408F">
              <w:rPr>
                <w:rFonts w:eastAsia="Times New Roman"/>
                <w:color w:val="000000"/>
                <w:sz w:val="20"/>
                <w:szCs w:val="20"/>
              </w:rPr>
              <w:t>)</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Natural log of the market to book value of equity</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0.044</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0.037</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-1.985</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1.553</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0.461</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ROA</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Net income divided by total assets</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0.023</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0.020</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-0.115</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0.149</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0.026</w:t>
            </w:r>
          </w:p>
        </w:tc>
      </w:tr>
      <w:tr w:rsidR="008B6B0C" w:rsidRPr="00BB5AF0" w:rsidTr="00B82F68">
        <w:trPr>
          <w:trHeight w:val="432"/>
        </w:trPr>
        <w:tc>
          <w:tcPr>
            <w:tcW w:w="1818" w:type="dxa"/>
            <w:tcBorders>
              <w:bottom w:val="single" w:sz="4" w:space="0" w:color="auto"/>
            </w:tcBorders>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ROE</w:t>
            </w:r>
          </w:p>
        </w:tc>
        <w:tc>
          <w:tcPr>
            <w:tcW w:w="2610" w:type="dxa"/>
            <w:tcBorders>
              <w:bottom w:val="single" w:sz="4" w:space="0" w:color="auto"/>
            </w:tcBorders>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Net income divided by book value of equity</w:t>
            </w:r>
          </w:p>
        </w:tc>
        <w:tc>
          <w:tcPr>
            <w:tcW w:w="1073" w:type="dxa"/>
            <w:tcBorders>
              <w:bottom w:val="single" w:sz="4" w:space="0" w:color="auto"/>
            </w:tcBorders>
            <w:vAlign w:val="center"/>
          </w:tcPr>
          <w:p w:rsidR="008B6B0C" w:rsidRPr="00BB5AF0" w:rsidRDefault="008B6B0C" w:rsidP="00A612AD">
            <w:pPr>
              <w:jc w:val="center"/>
              <w:rPr>
                <w:color w:val="000000"/>
                <w:sz w:val="20"/>
                <w:szCs w:val="20"/>
              </w:rPr>
            </w:pPr>
            <w:r>
              <w:rPr>
                <w:color w:val="000000"/>
                <w:sz w:val="20"/>
                <w:szCs w:val="20"/>
              </w:rPr>
              <w:t>-</w:t>
            </w:r>
          </w:p>
        </w:tc>
        <w:tc>
          <w:tcPr>
            <w:tcW w:w="866" w:type="dxa"/>
            <w:tcBorders>
              <w:bottom w:val="single" w:sz="4" w:space="0" w:color="auto"/>
            </w:tcBorders>
            <w:noWrap/>
            <w:vAlign w:val="center"/>
            <w:hideMark/>
          </w:tcPr>
          <w:p w:rsidR="008B6B0C" w:rsidRPr="00BB5AF0" w:rsidRDefault="008B6B0C" w:rsidP="00A612AD">
            <w:pPr>
              <w:jc w:val="center"/>
              <w:rPr>
                <w:color w:val="000000"/>
                <w:sz w:val="20"/>
                <w:szCs w:val="20"/>
              </w:rPr>
            </w:pPr>
            <w:r w:rsidRPr="00BB5AF0">
              <w:rPr>
                <w:color w:val="000000"/>
                <w:sz w:val="20"/>
                <w:szCs w:val="20"/>
              </w:rPr>
              <w:t>0.089</w:t>
            </w:r>
          </w:p>
        </w:tc>
        <w:tc>
          <w:tcPr>
            <w:tcW w:w="972" w:type="dxa"/>
            <w:tcBorders>
              <w:bottom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0.097</w:t>
            </w:r>
          </w:p>
        </w:tc>
        <w:tc>
          <w:tcPr>
            <w:tcW w:w="833" w:type="dxa"/>
            <w:tcBorders>
              <w:bottom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-1.884</w:t>
            </w:r>
          </w:p>
        </w:tc>
        <w:tc>
          <w:tcPr>
            <w:tcW w:w="1116" w:type="dxa"/>
            <w:tcBorders>
              <w:bottom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0.780</w:t>
            </w:r>
          </w:p>
        </w:tc>
        <w:tc>
          <w:tcPr>
            <w:tcW w:w="966" w:type="dxa"/>
            <w:tcBorders>
              <w:bottom w:val="single" w:sz="4" w:space="0" w:color="auto"/>
            </w:tcBorders>
            <w:noWrap/>
            <w:vAlign w:val="center"/>
            <w:hideMark/>
          </w:tcPr>
          <w:p w:rsidR="008B6B0C" w:rsidRPr="00BB5AF0" w:rsidRDefault="008B6B0C" w:rsidP="00A612AD">
            <w:pPr>
              <w:jc w:val="center"/>
              <w:rPr>
                <w:color w:val="000000"/>
                <w:sz w:val="20"/>
                <w:szCs w:val="20"/>
              </w:rPr>
            </w:pPr>
            <w:r w:rsidRPr="00BB5AF0">
              <w:rPr>
                <w:color w:val="000000"/>
                <w:sz w:val="20"/>
                <w:szCs w:val="20"/>
              </w:rPr>
              <w:t>0.130</w:t>
            </w:r>
          </w:p>
        </w:tc>
      </w:tr>
      <w:tr w:rsidR="008B6B0C" w:rsidRPr="00BB5AF0" w:rsidTr="00A612AD">
        <w:trPr>
          <w:trHeight w:val="432"/>
        </w:trPr>
        <w:tc>
          <w:tcPr>
            <w:tcW w:w="10254" w:type="dxa"/>
            <w:gridSpan w:val="8"/>
            <w:tcBorders>
              <w:top w:val="single" w:sz="4" w:space="0" w:color="auto"/>
              <w:bottom w:val="single" w:sz="4" w:space="0" w:color="auto"/>
            </w:tcBorders>
            <w:noWrap/>
            <w:vAlign w:val="bottom"/>
            <w:hideMark/>
          </w:tcPr>
          <w:p w:rsidR="008B6B0C" w:rsidRDefault="008B6B0C" w:rsidP="00A612AD">
            <w:pPr>
              <w:rPr>
                <w:rFonts w:eastAsia="Times New Roman"/>
                <w:i/>
                <w:color w:val="000000"/>
                <w:sz w:val="20"/>
                <w:szCs w:val="20"/>
              </w:rPr>
            </w:pPr>
            <w:r w:rsidRPr="001C53A8">
              <w:rPr>
                <w:rFonts w:eastAsia="Times New Roman"/>
                <w:i/>
                <w:color w:val="000000"/>
                <w:sz w:val="20"/>
                <w:szCs w:val="20"/>
              </w:rPr>
              <w:t>Governance Variables</w:t>
            </w:r>
          </w:p>
          <w:p w:rsidR="008B6B0C" w:rsidRPr="001C53A8" w:rsidRDefault="008B6B0C" w:rsidP="00A612AD">
            <w:pPr>
              <w:rPr>
                <w:i/>
                <w:color w:val="000000"/>
                <w:sz w:val="20"/>
                <w:szCs w:val="20"/>
              </w:rPr>
            </w:pPr>
          </w:p>
        </w:tc>
      </w:tr>
      <w:tr w:rsidR="008B6B0C" w:rsidRPr="00BB5AF0" w:rsidTr="00B82F68">
        <w:trPr>
          <w:trHeight w:val="432"/>
        </w:trPr>
        <w:tc>
          <w:tcPr>
            <w:tcW w:w="1818" w:type="dxa"/>
            <w:tcBorders>
              <w:top w:val="single" w:sz="4" w:space="0" w:color="auto"/>
            </w:tcBorders>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Family</w:t>
            </w:r>
          </w:p>
        </w:tc>
        <w:tc>
          <w:tcPr>
            <w:tcW w:w="2610" w:type="dxa"/>
            <w:tcBorders>
              <w:top w:val="single" w:sz="4" w:space="0" w:color="auto"/>
            </w:tcBorders>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 xml:space="preserve">Dummy for firms with family control </w:t>
            </w:r>
          </w:p>
        </w:tc>
        <w:tc>
          <w:tcPr>
            <w:tcW w:w="1073" w:type="dxa"/>
            <w:tcBorders>
              <w:top w:val="single" w:sz="4" w:space="0" w:color="auto"/>
            </w:tcBorders>
            <w:vAlign w:val="center"/>
          </w:tcPr>
          <w:p w:rsidR="008B6B0C" w:rsidRPr="00BB5AF0" w:rsidRDefault="008B6B0C" w:rsidP="00A612AD">
            <w:pPr>
              <w:jc w:val="center"/>
              <w:rPr>
                <w:color w:val="000000"/>
                <w:sz w:val="20"/>
                <w:szCs w:val="20"/>
              </w:rPr>
            </w:pPr>
            <w:r>
              <w:rPr>
                <w:color w:val="000000"/>
                <w:sz w:val="20"/>
                <w:szCs w:val="20"/>
              </w:rPr>
              <w:t>+</w:t>
            </w:r>
          </w:p>
        </w:tc>
        <w:tc>
          <w:tcPr>
            <w:tcW w:w="866" w:type="dxa"/>
            <w:tcBorders>
              <w:top w:val="single" w:sz="4" w:space="0" w:color="auto"/>
            </w:tcBorders>
            <w:noWrap/>
            <w:vAlign w:val="center"/>
            <w:hideMark/>
          </w:tcPr>
          <w:p w:rsidR="008B6B0C" w:rsidRPr="00BB5AF0" w:rsidRDefault="008B6B0C" w:rsidP="00A612AD">
            <w:pPr>
              <w:jc w:val="center"/>
              <w:rPr>
                <w:color w:val="000000"/>
                <w:sz w:val="20"/>
                <w:szCs w:val="20"/>
              </w:rPr>
            </w:pPr>
            <w:r w:rsidRPr="00BB5AF0">
              <w:rPr>
                <w:color w:val="000000"/>
                <w:sz w:val="20"/>
                <w:szCs w:val="20"/>
              </w:rPr>
              <w:t>0.376</w:t>
            </w:r>
          </w:p>
        </w:tc>
        <w:tc>
          <w:tcPr>
            <w:tcW w:w="972" w:type="dxa"/>
            <w:tcBorders>
              <w:top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w:t>
            </w:r>
          </w:p>
        </w:tc>
        <w:tc>
          <w:tcPr>
            <w:tcW w:w="833" w:type="dxa"/>
            <w:tcBorders>
              <w:top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w:t>
            </w:r>
          </w:p>
        </w:tc>
        <w:tc>
          <w:tcPr>
            <w:tcW w:w="1116" w:type="dxa"/>
            <w:tcBorders>
              <w:top w:val="single" w:sz="4" w:space="0" w:color="auto"/>
            </w:tcBorders>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w:t>
            </w:r>
          </w:p>
        </w:tc>
        <w:tc>
          <w:tcPr>
            <w:tcW w:w="966" w:type="dxa"/>
            <w:tcBorders>
              <w:top w:val="single" w:sz="4" w:space="0" w:color="auto"/>
            </w:tcBorders>
            <w:noWrap/>
            <w:vAlign w:val="center"/>
            <w:hideMark/>
          </w:tcPr>
          <w:p w:rsidR="008B6B0C" w:rsidRPr="00BB5AF0" w:rsidRDefault="008B6B0C" w:rsidP="00A612AD">
            <w:pPr>
              <w:jc w:val="center"/>
              <w:rPr>
                <w:color w:val="000000"/>
                <w:sz w:val="20"/>
                <w:szCs w:val="20"/>
              </w:rPr>
            </w:pPr>
            <w:r w:rsidRPr="00BB5AF0">
              <w:rPr>
                <w:color w:val="000000"/>
                <w:sz w:val="20"/>
                <w:szCs w:val="20"/>
              </w:rPr>
              <w:t>0.485</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proofErr w:type="spellStart"/>
            <w:r>
              <w:rPr>
                <w:rFonts w:eastAsia="Times New Roman"/>
                <w:color w:val="000000"/>
                <w:sz w:val="20"/>
                <w:szCs w:val="20"/>
              </w:rPr>
              <w:t>FamilyStrict</w:t>
            </w:r>
            <w:proofErr w:type="spellEnd"/>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Dummy for firms with family control (no mutual owned)</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0.321</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0.467</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Duality</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 xml:space="preserve">Dummy for same individual as CEO and Chairperson </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0.537</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0.499</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proofErr w:type="spellStart"/>
            <w:r w:rsidRPr="003E67CF">
              <w:rPr>
                <w:rFonts w:eastAsia="Times New Roman"/>
                <w:color w:val="000000"/>
                <w:sz w:val="20"/>
                <w:szCs w:val="20"/>
              </w:rPr>
              <w:t>Blockhold</w:t>
            </w:r>
            <w:r>
              <w:rPr>
                <w:rFonts w:eastAsia="Times New Roman"/>
                <w:color w:val="000000"/>
                <w:sz w:val="20"/>
                <w:szCs w:val="20"/>
              </w:rPr>
              <w:t>er</w:t>
            </w:r>
            <w:proofErr w:type="spellEnd"/>
            <w:r w:rsidRPr="003E67CF">
              <w:rPr>
                <w:rFonts w:eastAsia="Times New Roman"/>
                <w:color w:val="000000"/>
                <w:sz w:val="20"/>
                <w:szCs w:val="20"/>
              </w:rPr>
              <w:t xml:space="preserve"> </w:t>
            </w:r>
            <w:r w:rsidR="00B62C79">
              <w:rPr>
                <w:rFonts w:eastAsia="Times New Roman"/>
                <w:color w:val="000000"/>
                <w:sz w:val="20"/>
                <w:szCs w:val="20"/>
              </w:rPr>
              <w:t>Pct</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 xml:space="preserve">Fraction of institutional investor ownership of firm </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0.219</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0.196</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0.000</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0.816</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0.176</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Blackrock</w:t>
            </w:r>
          </w:p>
        </w:tc>
        <w:tc>
          <w:tcPr>
            <w:tcW w:w="2610" w:type="dxa"/>
            <w:noWrap/>
            <w:hideMark/>
          </w:tcPr>
          <w:p w:rsidR="008B6B0C" w:rsidRPr="003E67CF" w:rsidRDefault="008B6B0C" w:rsidP="004A2D88">
            <w:pPr>
              <w:rPr>
                <w:rFonts w:eastAsia="Times New Roman"/>
                <w:color w:val="000000"/>
                <w:sz w:val="20"/>
                <w:szCs w:val="20"/>
              </w:rPr>
            </w:pPr>
            <w:r w:rsidRPr="00BB5AF0">
              <w:rPr>
                <w:rFonts w:eastAsia="Times New Roman"/>
                <w:color w:val="000000"/>
                <w:sz w:val="20"/>
                <w:szCs w:val="20"/>
              </w:rPr>
              <w:t xml:space="preserve">1 if </w:t>
            </w:r>
            <w:r w:rsidRPr="003E67CF">
              <w:rPr>
                <w:rFonts w:eastAsia="Times New Roman"/>
                <w:color w:val="000000"/>
                <w:sz w:val="20"/>
                <w:szCs w:val="20"/>
              </w:rPr>
              <w:t xml:space="preserve">Blackrock has at least a 5% share </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0.376</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0.485</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 xml:space="preserve">D&amp;O </w:t>
            </w:r>
            <w:r w:rsidR="00B62C79">
              <w:rPr>
                <w:rFonts w:eastAsia="Times New Roman"/>
                <w:color w:val="000000"/>
                <w:sz w:val="20"/>
                <w:szCs w:val="20"/>
              </w:rPr>
              <w:t>Pct</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Fraction owned by directors and officers (non-family)</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0.052</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0.024</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0.000</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1.000</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0.077</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Current Comp</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Non-stock and non-option CEO compensation ($1,000s)</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3,713</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2,364</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95</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31,010</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3,953</w:t>
            </w:r>
          </w:p>
        </w:tc>
      </w:tr>
      <w:tr w:rsidR="008B6B0C" w:rsidRPr="00BB5AF0" w:rsidTr="00B82F68">
        <w:trPr>
          <w:trHeight w:val="432"/>
        </w:trPr>
        <w:tc>
          <w:tcPr>
            <w:tcW w:w="1818" w:type="dxa"/>
            <w:noWrap/>
            <w:hideMark/>
          </w:tcPr>
          <w:p w:rsidR="008B6B0C" w:rsidRPr="003E67CF" w:rsidRDefault="00A5732F" w:rsidP="004A2D88">
            <w:pPr>
              <w:rPr>
                <w:rFonts w:eastAsia="Times New Roman"/>
                <w:color w:val="000000"/>
                <w:sz w:val="20"/>
                <w:szCs w:val="20"/>
              </w:rPr>
            </w:pPr>
            <w:r>
              <w:rPr>
                <w:rFonts w:eastAsia="Times New Roman"/>
                <w:color w:val="000000"/>
                <w:sz w:val="20"/>
                <w:szCs w:val="20"/>
              </w:rPr>
              <w:t xml:space="preserve">Log </w:t>
            </w:r>
            <w:r w:rsidR="008B6B0C" w:rsidRPr="003E67CF">
              <w:rPr>
                <w:rFonts w:eastAsia="Times New Roman"/>
                <w:color w:val="000000"/>
                <w:sz w:val="20"/>
                <w:szCs w:val="20"/>
              </w:rPr>
              <w:t>Current Comp</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Natural log of non-</w:t>
            </w:r>
            <w:r w:rsidRPr="00BB5AF0">
              <w:rPr>
                <w:rFonts w:eastAsia="Times New Roman"/>
                <w:color w:val="000000"/>
                <w:sz w:val="20"/>
                <w:szCs w:val="20"/>
              </w:rPr>
              <w:t>future</w:t>
            </w:r>
            <w:r w:rsidRPr="003E67CF">
              <w:rPr>
                <w:rFonts w:eastAsia="Times New Roman"/>
                <w:color w:val="000000"/>
                <w:sz w:val="20"/>
                <w:szCs w:val="20"/>
              </w:rPr>
              <w:t xml:space="preserve"> CEO compensation</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7.745</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7.757</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4.554</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10.342</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1.001</w:t>
            </w:r>
          </w:p>
        </w:tc>
      </w:tr>
      <w:tr w:rsidR="008B6B0C" w:rsidRPr="00BB5AF0" w:rsidTr="00B82F68">
        <w:trPr>
          <w:trHeight w:val="432"/>
        </w:trPr>
        <w:tc>
          <w:tcPr>
            <w:tcW w:w="1818" w:type="dxa"/>
            <w:noWrap/>
            <w:hideMark/>
          </w:tcPr>
          <w:p w:rsidR="008B6B0C" w:rsidRPr="003E67CF" w:rsidRDefault="00B62C79" w:rsidP="004A2D88">
            <w:pPr>
              <w:rPr>
                <w:rFonts w:eastAsia="Times New Roman"/>
                <w:color w:val="000000"/>
                <w:sz w:val="20"/>
                <w:szCs w:val="20"/>
              </w:rPr>
            </w:pPr>
            <w:r>
              <w:rPr>
                <w:rFonts w:eastAsia="Times New Roman"/>
                <w:color w:val="000000"/>
                <w:sz w:val="20"/>
                <w:szCs w:val="20"/>
              </w:rPr>
              <w:t>Forward Comp Pct</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Option &amp; stock as fraction of total CEO compensation</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0.335</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0.345</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0.000</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0.985</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0.243</w:t>
            </w:r>
          </w:p>
        </w:tc>
      </w:tr>
      <w:tr w:rsidR="008B6B0C" w:rsidRPr="00BB5AF0" w:rsidTr="00B82F68">
        <w:trPr>
          <w:trHeight w:val="432"/>
        </w:trPr>
        <w:tc>
          <w:tcPr>
            <w:tcW w:w="1818" w:type="dxa"/>
            <w:tcBorders>
              <w:bottom w:val="single" w:sz="4" w:space="0" w:color="auto"/>
            </w:tcBorders>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Leverage</w:t>
            </w:r>
          </w:p>
        </w:tc>
        <w:tc>
          <w:tcPr>
            <w:tcW w:w="2610" w:type="dxa"/>
            <w:tcBorders>
              <w:bottom w:val="single" w:sz="4" w:space="0" w:color="auto"/>
            </w:tcBorders>
            <w:noWrap/>
            <w:hideMark/>
          </w:tcPr>
          <w:p w:rsidR="008B6B0C" w:rsidRPr="003E67CF" w:rsidRDefault="008B6B0C" w:rsidP="004A2D88">
            <w:pPr>
              <w:rPr>
                <w:rFonts w:eastAsia="Times New Roman"/>
                <w:color w:val="000000"/>
                <w:sz w:val="20"/>
                <w:szCs w:val="20"/>
              </w:rPr>
            </w:pPr>
            <w:r w:rsidRPr="00BB5AF0">
              <w:rPr>
                <w:rFonts w:eastAsia="Times New Roman"/>
                <w:color w:val="000000"/>
                <w:sz w:val="20"/>
                <w:szCs w:val="20"/>
              </w:rPr>
              <w:t>One minus</w:t>
            </w:r>
            <w:r>
              <w:rPr>
                <w:rFonts w:eastAsia="Times New Roman"/>
                <w:color w:val="000000"/>
                <w:sz w:val="20"/>
                <w:szCs w:val="20"/>
              </w:rPr>
              <w:t xml:space="preserve"> (Shareholders’ Equity/</w:t>
            </w:r>
            <w:r w:rsidRPr="003E67CF">
              <w:rPr>
                <w:rFonts w:eastAsia="Times New Roman"/>
                <w:color w:val="000000"/>
                <w:sz w:val="20"/>
                <w:szCs w:val="20"/>
              </w:rPr>
              <w:t>Total Assets)</w:t>
            </w:r>
          </w:p>
        </w:tc>
        <w:tc>
          <w:tcPr>
            <w:tcW w:w="1073" w:type="dxa"/>
            <w:tcBorders>
              <w:bottom w:val="single" w:sz="4" w:space="0" w:color="auto"/>
            </w:tcBorders>
            <w:vAlign w:val="center"/>
          </w:tcPr>
          <w:p w:rsidR="008B6B0C" w:rsidRPr="00BB5AF0" w:rsidRDefault="008B6B0C" w:rsidP="00A612AD">
            <w:pPr>
              <w:jc w:val="center"/>
              <w:rPr>
                <w:color w:val="000000"/>
                <w:sz w:val="20"/>
                <w:szCs w:val="20"/>
              </w:rPr>
            </w:pPr>
            <w:r>
              <w:rPr>
                <w:color w:val="000000"/>
                <w:sz w:val="20"/>
                <w:szCs w:val="20"/>
              </w:rPr>
              <w:t>+</w:t>
            </w:r>
          </w:p>
        </w:tc>
        <w:tc>
          <w:tcPr>
            <w:tcW w:w="866" w:type="dxa"/>
            <w:tcBorders>
              <w:bottom w:val="single" w:sz="4" w:space="0" w:color="auto"/>
            </w:tcBorders>
            <w:noWrap/>
            <w:vAlign w:val="center"/>
            <w:hideMark/>
          </w:tcPr>
          <w:p w:rsidR="008B6B0C" w:rsidRPr="00BB5AF0" w:rsidRDefault="008B6B0C" w:rsidP="00A612AD">
            <w:pPr>
              <w:jc w:val="center"/>
              <w:rPr>
                <w:color w:val="000000"/>
                <w:sz w:val="20"/>
                <w:szCs w:val="20"/>
              </w:rPr>
            </w:pPr>
            <w:r>
              <w:rPr>
                <w:color w:val="000000"/>
                <w:sz w:val="20"/>
                <w:szCs w:val="20"/>
              </w:rPr>
              <w:t>0.750</w:t>
            </w:r>
          </w:p>
        </w:tc>
        <w:tc>
          <w:tcPr>
            <w:tcW w:w="972" w:type="dxa"/>
            <w:tcBorders>
              <w:bottom w:val="single" w:sz="4" w:space="0" w:color="auto"/>
            </w:tcBorders>
            <w:noWrap/>
            <w:vAlign w:val="center"/>
            <w:hideMark/>
          </w:tcPr>
          <w:p w:rsidR="008B6B0C" w:rsidRPr="003E67CF" w:rsidRDefault="008B6B0C" w:rsidP="00A612AD">
            <w:pPr>
              <w:jc w:val="center"/>
              <w:rPr>
                <w:rFonts w:eastAsia="Times New Roman"/>
                <w:color w:val="000000"/>
                <w:sz w:val="20"/>
                <w:szCs w:val="20"/>
              </w:rPr>
            </w:pPr>
            <w:r>
              <w:rPr>
                <w:rFonts w:eastAsia="Times New Roman"/>
                <w:color w:val="000000"/>
                <w:sz w:val="20"/>
                <w:szCs w:val="20"/>
              </w:rPr>
              <w:t>0.756</w:t>
            </w:r>
          </w:p>
        </w:tc>
        <w:tc>
          <w:tcPr>
            <w:tcW w:w="833" w:type="dxa"/>
            <w:tcBorders>
              <w:bottom w:val="single" w:sz="4" w:space="0" w:color="auto"/>
            </w:tcBorders>
            <w:noWrap/>
            <w:vAlign w:val="center"/>
            <w:hideMark/>
          </w:tcPr>
          <w:p w:rsidR="008B6B0C" w:rsidRPr="003E67CF" w:rsidRDefault="008B6B0C" w:rsidP="00A612AD">
            <w:pPr>
              <w:jc w:val="center"/>
              <w:rPr>
                <w:rFonts w:eastAsia="Times New Roman"/>
                <w:color w:val="000000"/>
                <w:sz w:val="20"/>
                <w:szCs w:val="20"/>
              </w:rPr>
            </w:pPr>
            <w:r>
              <w:rPr>
                <w:rFonts w:eastAsia="Times New Roman"/>
                <w:color w:val="000000"/>
                <w:sz w:val="20"/>
                <w:szCs w:val="20"/>
              </w:rPr>
              <w:t>0.271</w:t>
            </w:r>
          </w:p>
        </w:tc>
        <w:tc>
          <w:tcPr>
            <w:tcW w:w="1116" w:type="dxa"/>
            <w:tcBorders>
              <w:bottom w:val="single" w:sz="4" w:space="0" w:color="auto"/>
            </w:tcBorders>
            <w:noWrap/>
            <w:vAlign w:val="center"/>
            <w:hideMark/>
          </w:tcPr>
          <w:p w:rsidR="008B6B0C" w:rsidRPr="003E67CF" w:rsidRDefault="008B6B0C" w:rsidP="00A612AD">
            <w:pPr>
              <w:jc w:val="center"/>
              <w:rPr>
                <w:rFonts w:eastAsia="Times New Roman"/>
                <w:color w:val="000000"/>
                <w:sz w:val="20"/>
                <w:szCs w:val="20"/>
              </w:rPr>
            </w:pPr>
            <w:r>
              <w:rPr>
                <w:rFonts w:eastAsia="Times New Roman"/>
                <w:color w:val="000000"/>
                <w:sz w:val="20"/>
                <w:szCs w:val="20"/>
              </w:rPr>
              <w:t>0.985</w:t>
            </w:r>
          </w:p>
        </w:tc>
        <w:tc>
          <w:tcPr>
            <w:tcW w:w="966" w:type="dxa"/>
            <w:tcBorders>
              <w:bottom w:val="single" w:sz="4" w:space="0" w:color="auto"/>
            </w:tcBorders>
            <w:noWrap/>
            <w:vAlign w:val="center"/>
            <w:hideMark/>
          </w:tcPr>
          <w:p w:rsidR="008B6B0C" w:rsidRPr="00BB5AF0" w:rsidRDefault="008B6B0C" w:rsidP="00A612AD">
            <w:pPr>
              <w:jc w:val="center"/>
              <w:rPr>
                <w:color w:val="000000"/>
                <w:sz w:val="20"/>
                <w:szCs w:val="20"/>
              </w:rPr>
            </w:pPr>
            <w:r>
              <w:rPr>
                <w:color w:val="000000"/>
                <w:sz w:val="20"/>
                <w:szCs w:val="20"/>
              </w:rPr>
              <w:t>0.125</w:t>
            </w:r>
          </w:p>
        </w:tc>
      </w:tr>
      <w:tr w:rsidR="008B6B0C" w:rsidRPr="00BB5AF0" w:rsidTr="00A612AD">
        <w:trPr>
          <w:trHeight w:val="432"/>
        </w:trPr>
        <w:tc>
          <w:tcPr>
            <w:tcW w:w="10254" w:type="dxa"/>
            <w:gridSpan w:val="8"/>
            <w:tcBorders>
              <w:top w:val="single" w:sz="4" w:space="0" w:color="auto"/>
              <w:bottom w:val="single" w:sz="4" w:space="0" w:color="auto"/>
            </w:tcBorders>
            <w:noWrap/>
            <w:vAlign w:val="bottom"/>
            <w:hideMark/>
          </w:tcPr>
          <w:p w:rsidR="008B6B0C" w:rsidRDefault="008B6B0C" w:rsidP="00A612AD">
            <w:pPr>
              <w:rPr>
                <w:rFonts w:eastAsia="Times New Roman"/>
                <w:i/>
                <w:color w:val="000000"/>
                <w:sz w:val="20"/>
                <w:szCs w:val="20"/>
              </w:rPr>
            </w:pPr>
            <w:r w:rsidRPr="001C53A8">
              <w:rPr>
                <w:rFonts w:eastAsia="Times New Roman"/>
                <w:i/>
                <w:color w:val="000000"/>
                <w:sz w:val="20"/>
                <w:szCs w:val="20"/>
              </w:rPr>
              <w:t>Control Variables</w:t>
            </w:r>
          </w:p>
          <w:p w:rsidR="008B6B0C" w:rsidRPr="001C53A8" w:rsidRDefault="008B6B0C" w:rsidP="00A612AD">
            <w:pPr>
              <w:rPr>
                <w:i/>
                <w:color w:val="000000"/>
                <w:sz w:val="20"/>
                <w:szCs w:val="20"/>
              </w:rPr>
            </w:pP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Liquidity</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Operating cash flow to end-of-year market value</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0.169</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0.150</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-0.752</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1.247</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0.210</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Extreme Liquid</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1 if Liquidity takes on extreme high or low values</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680EDB" w:rsidRDefault="008B6B0C" w:rsidP="00A612AD">
            <w:pPr>
              <w:jc w:val="center"/>
              <w:rPr>
                <w:color w:val="000000"/>
                <w:sz w:val="20"/>
                <w:szCs w:val="22"/>
              </w:rPr>
            </w:pPr>
            <w:r w:rsidRPr="00680EDB">
              <w:rPr>
                <w:color w:val="000000"/>
                <w:sz w:val="20"/>
                <w:szCs w:val="22"/>
              </w:rPr>
              <w:t>0.112</w:t>
            </w:r>
          </w:p>
        </w:tc>
        <w:tc>
          <w:tcPr>
            <w:tcW w:w="972" w:type="dxa"/>
            <w:noWrap/>
            <w:vAlign w:val="center"/>
            <w:hideMark/>
          </w:tcPr>
          <w:p w:rsidR="008B6B0C" w:rsidRPr="00680EDB" w:rsidRDefault="008B6B0C" w:rsidP="00A612AD">
            <w:pPr>
              <w:jc w:val="center"/>
              <w:rPr>
                <w:color w:val="000000"/>
                <w:sz w:val="20"/>
                <w:szCs w:val="22"/>
              </w:rPr>
            </w:pPr>
            <w:r w:rsidRPr="00680EDB">
              <w:rPr>
                <w:color w:val="000000"/>
                <w:sz w:val="20"/>
                <w:szCs w:val="22"/>
              </w:rPr>
              <w:t>0</w:t>
            </w:r>
          </w:p>
        </w:tc>
        <w:tc>
          <w:tcPr>
            <w:tcW w:w="833" w:type="dxa"/>
            <w:noWrap/>
            <w:vAlign w:val="center"/>
            <w:hideMark/>
          </w:tcPr>
          <w:p w:rsidR="008B6B0C" w:rsidRPr="00680EDB" w:rsidRDefault="008B6B0C" w:rsidP="00A612AD">
            <w:pPr>
              <w:jc w:val="center"/>
              <w:rPr>
                <w:color w:val="000000"/>
                <w:sz w:val="20"/>
                <w:szCs w:val="22"/>
              </w:rPr>
            </w:pPr>
            <w:r w:rsidRPr="00680EDB">
              <w:rPr>
                <w:color w:val="000000"/>
                <w:sz w:val="20"/>
                <w:szCs w:val="22"/>
              </w:rPr>
              <w:t>0</w:t>
            </w:r>
          </w:p>
        </w:tc>
        <w:tc>
          <w:tcPr>
            <w:tcW w:w="1116" w:type="dxa"/>
            <w:noWrap/>
            <w:vAlign w:val="center"/>
            <w:hideMark/>
          </w:tcPr>
          <w:p w:rsidR="008B6B0C" w:rsidRPr="00680EDB" w:rsidRDefault="008B6B0C" w:rsidP="00A612AD">
            <w:pPr>
              <w:jc w:val="center"/>
              <w:rPr>
                <w:color w:val="000000"/>
                <w:sz w:val="20"/>
                <w:szCs w:val="22"/>
              </w:rPr>
            </w:pPr>
            <w:r w:rsidRPr="00680EDB">
              <w:rPr>
                <w:color w:val="000000"/>
                <w:sz w:val="20"/>
                <w:szCs w:val="22"/>
              </w:rPr>
              <w:t>1</w:t>
            </w:r>
          </w:p>
        </w:tc>
        <w:tc>
          <w:tcPr>
            <w:tcW w:w="966" w:type="dxa"/>
            <w:noWrap/>
            <w:vAlign w:val="center"/>
            <w:hideMark/>
          </w:tcPr>
          <w:p w:rsidR="008B6B0C" w:rsidRPr="00680EDB" w:rsidRDefault="008B6B0C" w:rsidP="00A612AD">
            <w:pPr>
              <w:jc w:val="center"/>
              <w:rPr>
                <w:color w:val="000000"/>
                <w:sz w:val="20"/>
                <w:szCs w:val="22"/>
              </w:rPr>
            </w:pPr>
            <w:r w:rsidRPr="00680EDB">
              <w:rPr>
                <w:color w:val="000000"/>
                <w:sz w:val="20"/>
                <w:szCs w:val="22"/>
              </w:rPr>
              <w:t>0.112</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Risk</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Coefficient of variation of quarterly operating cash flows</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1.312</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0.582</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0.074</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28.394</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3.056</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Pr>
                <w:rFonts w:eastAsia="Times New Roman"/>
                <w:color w:val="000000"/>
                <w:sz w:val="20"/>
                <w:szCs w:val="20"/>
              </w:rPr>
              <w:t>Tot</w:t>
            </w:r>
            <w:r w:rsidRPr="003E67CF">
              <w:rPr>
                <w:rFonts w:eastAsia="Times New Roman"/>
                <w:color w:val="000000"/>
                <w:sz w:val="20"/>
                <w:szCs w:val="20"/>
              </w:rPr>
              <w:t xml:space="preserve"> Assets</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Total assets ($1,000,000s)</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52,645</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9,769</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9</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1,060,505</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132,882</w:t>
            </w:r>
          </w:p>
        </w:tc>
      </w:tr>
      <w:tr w:rsidR="008B6B0C" w:rsidRPr="00BB5AF0" w:rsidTr="00B82F68">
        <w:trPr>
          <w:trHeight w:val="432"/>
        </w:trPr>
        <w:tc>
          <w:tcPr>
            <w:tcW w:w="1818"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 xml:space="preserve">LN </w:t>
            </w:r>
            <w:r>
              <w:rPr>
                <w:rFonts w:eastAsia="Times New Roman"/>
                <w:color w:val="000000"/>
                <w:sz w:val="20"/>
                <w:szCs w:val="20"/>
              </w:rPr>
              <w:t>Tot</w:t>
            </w:r>
            <w:r w:rsidRPr="003E67CF">
              <w:rPr>
                <w:rFonts w:eastAsia="Times New Roman"/>
                <w:color w:val="000000"/>
                <w:sz w:val="20"/>
                <w:szCs w:val="20"/>
              </w:rPr>
              <w:t xml:space="preserve"> Assets</w:t>
            </w:r>
          </w:p>
        </w:tc>
        <w:tc>
          <w:tcPr>
            <w:tcW w:w="2610" w:type="dxa"/>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Natural log of total assets</w:t>
            </w:r>
          </w:p>
        </w:tc>
        <w:tc>
          <w:tcPr>
            <w:tcW w:w="1073" w:type="dxa"/>
            <w:vAlign w:val="center"/>
          </w:tcPr>
          <w:p w:rsidR="008B6B0C" w:rsidRPr="00BB5AF0" w:rsidRDefault="008B6B0C" w:rsidP="00A612AD">
            <w:pPr>
              <w:jc w:val="center"/>
              <w:rPr>
                <w:color w:val="000000"/>
                <w:sz w:val="20"/>
                <w:szCs w:val="20"/>
              </w:rPr>
            </w:pPr>
            <w:r>
              <w:rPr>
                <w:color w:val="000000"/>
                <w:sz w:val="20"/>
                <w:szCs w:val="20"/>
              </w:rPr>
              <w:t>-</w:t>
            </w:r>
          </w:p>
        </w:tc>
        <w:tc>
          <w:tcPr>
            <w:tcW w:w="866" w:type="dxa"/>
            <w:noWrap/>
            <w:vAlign w:val="center"/>
            <w:hideMark/>
          </w:tcPr>
          <w:p w:rsidR="008B6B0C" w:rsidRPr="00BB5AF0" w:rsidRDefault="008B6B0C" w:rsidP="00A612AD">
            <w:pPr>
              <w:jc w:val="center"/>
              <w:rPr>
                <w:color w:val="000000"/>
                <w:sz w:val="20"/>
                <w:szCs w:val="20"/>
              </w:rPr>
            </w:pPr>
            <w:r w:rsidRPr="00BB5AF0">
              <w:rPr>
                <w:color w:val="000000"/>
                <w:sz w:val="20"/>
                <w:szCs w:val="20"/>
              </w:rPr>
              <w:t>9.174</w:t>
            </w:r>
          </w:p>
        </w:tc>
        <w:tc>
          <w:tcPr>
            <w:tcW w:w="972"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9.237</w:t>
            </w:r>
          </w:p>
        </w:tc>
        <w:tc>
          <w:tcPr>
            <w:tcW w:w="833"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2.243</w:t>
            </w:r>
          </w:p>
        </w:tc>
        <w:tc>
          <w:tcPr>
            <w:tcW w:w="1116" w:type="dxa"/>
            <w:noWrap/>
            <w:vAlign w:val="center"/>
            <w:hideMark/>
          </w:tcPr>
          <w:p w:rsidR="008B6B0C" w:rsidRPr="003E67CF" w:rsidRDefault="008B6B0C" w:rsidP="00A612AD">
            <w:pPr>
              <w:jc w:val="center"/>
              <w:rPr>
                <w:rFonts w:eastAsia="Times New Roman"/>
                <w:color w:val="000000"/>
                <w:sz w:val="20"/>
                <w:szCs w:val="20"/>
              </w:rPr>
            </w:pPr>
            <w:r w:rsidRPr="003E67CF">
              <w:rPr>
                <w:rFonts w:eastAsia="Times New Roman"/>
                <w:color w:val="000000"/>
                <w:sz w:val="20"/>
                <w:szCs w:val="20"/>
              </w:rPr>
              <w:t>13.874</w:t>
            </w:r>
          </w:p>
        </w:tc>
        <w:tc>
          <w:tcPr>
            <w:tcW w:w="966" w:type="dxa"/>
            <w:noWrap/>
            <w:vAlign w:val="center"/>
            <w:hideMark/>
          </w:tcPr>
          <w:p w:rsidR="008B6B0C" w:rsidRPr="00BB5AF0" w:rsidRDefault="008B6B0C" w:rsidP="00A612AD">
            <w:pPr>
              <w:jc w:val="center"/>
              <w:rPr>
                <w:color w:val="000000"/>
                <w:sz w:val="20"/>
                <w:szCs w:val="20"/>
              </w:rPr>
            </w:pPr>
            <w:r w:rsidRPr="00BB5AF0">
              <w:rPr>
                <w:color w:val="000000"/>
                <w:sz w:val="20"/>
                <w:szCs w:val="20"/>
              </w:rPr>
              <w:t>2.024</w:t>
            </w:r>
          </w:p>
        </w:tc>
      </w:tr>
      <w:tr w:rsidR="008B6B0C" w:rsidRPr="00BB5AF0" w:rsidTr="00B82F68">
        <w:trPr>
          <w:trHeight w:val="432"/>
        </w:trPr>
        <w:tc>
          <w:tcPr>
            <w:tcW w:w="1818" w:type="dxa"/>
            <w:tcBorders>
              <w:bottom w:val="single" w:sz="4" w:space="0" w:color="auto"/>
            </w:tcBorders>
            <w:noWrap/>
            <w:hideMark/>
          </w:tcPr>
          <w:p w:rsidR="008B6B0C" w:rsidRPr="003E67CF" w:rsidRDefault="008B6B0C" w:rsidP="004A2D88">
            <w:pPr>
              <w:rPr>
                <w:rFonts w:eastAsia="Times New Roman"/>
                <w:color w:val="000000"/>
                <w:sz w:val="20"/>
                <w:szCs w:val="20"/>
              </w:rPr>
            </w:pPr>
            <w:r>
              <w:rPr>
                <w:rFonts w:eastAsia="Times New Roman"/>
                <w:color w:val="000000"/>
                <w:sz w:val="20"/>
                <w:szCs w:val="20"/>
              </w:rPr>
              <w:t>Focus</w:t>
            </w:r>
          </w:p>
        </w:tc>
        <w:tc>
          <w:tcPr>
            <w:tcW w:w="2610" w:type="dxa"/>
            <w:tcBorders>
              <w:bottom w:val="single" w:sz="4" w:space="0" w:color="auto"/>
            </w:tcBorders>
            <w:noWrap/>
            <w:hideMark/>
          </w:tcPr>
          <w:p w:rsidR="008B6B0C" w:rsidRPr="003E67CF" w:rsidRDefault="008B6B0C" w:rsidP="004A2D88">
            <w:pPr>
              <w:rPr>
                <w:rFonts w:eastAsia="Times New Roman"/>
                <w:color w:val="000000"/>
                <w:sz w:val="20"/>
                <w:szCs w:val="20"/>
              </w:rPr>
            </w:pPr>
            <w:r w:rsidRPr="003E67CF">
              <w:rPr>
                <w:rFonts w:eastAsia="Times New Roman"/>
                <w:color w:val="000000"/>
                <w:sz w:val="20"/>
                <w:szCs w:val="20"/>
              </w:rPr>
              <w:t xml:space="preserve">1 </w:t>
            </w:r>
            <w:r>
              <w:rPr>
                <w:rFonts w:eastAsia="Times New Roman"/>
                <w:color w:val="000000"/>
                <w:sz w:val="20"/>
                <w:szCs w:val="20"/>
              </w:rPr>
              <w:t>business segments = 1</w:t>
            </w:r>
          </w:p>
        </w:tc>
        <w:tc>
          <w:tcPr>
            <w:tcW w:w="1073" w:type="dxa"/>
            <w:tcBorders>
              <w:bottom w:val="single" w:sz="4" w:space="0" w:color="auto"/>
            </w:tcBorders>
            <w:vAlign w:val="center"/>
          </w:tcPr>
          <w:p w:rsidR="008B6B0C" w:rsidRPr="00BB5AF0" w:rsidRDefault="008B6B0C" w:rsidP="00A612AD">
            <w:pPr>
              <w:jc w:val="center"/>
              <w:rPr>
                <w:color w:val="000000"/>
                <w:sz w:val="20"/>
                <w:szCs w:val="20"/>
              </w:rPr>
            </w:pPr>
            <w:r>
              <w:rPr>
                <w:color w:val="000000"/>
                <w:sz w:val="20"/>
                <w:szCs w:val="20"/>
              </w:rPr>
              <w:t>+</w:t>
            </w:r>
          </w:p>
        </w:tc>
        <w:tc>
          <w:tcPr>
            <w:tcW w:w="866" w:type="dxa"/>
            <w:tcBorders>
              <w:bottom w:val="single" w:sz="4" w:space="0" w:color="auto"/>
            </w:tcBorders>
            <w:noWrap/>
            <w:vAlign w:val="center"/>
            <w:hideMark/>
          </w:tcPr>
          <w:p w:rsidR="008B6B0C" w:rsidRPr="00F30139" w:rsidRDefault="008B6B0C" w:rsidP="00A612AD">
            <w:pPr>
              <w:jc w:val="center"/>
              <w:rPr>
                <w:color w:val="000000"/>
                <w:sz w:val="20"/>
                <w:szCs w:val="20"/>
              </w:rPr>
            </w:pPr>
            <w:r w:rsidRPr="00F30139">
              <w:rPr>
                <w:color w:val="000000"/>
                <w:sz w:val="20"/>
                <w:szCs w:val="20"/>
              </w:rPr>
              <w:t>0.198</w:t>
            </w:r>
          </w:p>
        </w:tc>
        <w:tc>
          <w:tcPr>
            <w:tcW w:w="972" w:type="dxa"/>
            <w:tcBorders>
              <w:bottom w:val="single" w:sz="4" w:space="0" w:color="auto"/>
            </w:tcBorders>
            <w:noWrap/>
            <w:vAlign w:val="center"/>
            <w:hideMark/>
          </w:tcPr>
          <w:p w:rsidR="008B6B0C" w:rsidRPr="00F30139" w:rsidRDefault="008B6B0C" w:rsidP="00A612AD">
            <w:pPr>
              <w:jc w:val="center"/>
              <w:rPr>
                <w:color w:val="000000"/>
                <w:sz w:val="20"/>
                <w:szCs w:val="20"/>
              </w:rPr>
            </w:pPr>
            <w:r w:rsidRPr="00F30139">
              <w:rPr>
                <w:color w:val="000000"/>
                <w:sz w:val="20"/>
                <w:szCs w:val="20"/>
              </w:rPr>
              <w:t>0</w:t>
            </w:r>
          </w:p>
        </w:tc>
        <w:tc>
          <w:tcPr>
            <w:tcW w:w="833" w:type="dxa"/>
            <w:tcBorders>
              <w:bottom w:val="single" w:sz="4" w:space="0" w:color="auto"/>
            </w:tcBorders>
            <w:noWrap/>
            <w:vAlign w:val="center"/>
            <w:hideMark/>
          </w:tcPr>
          <w:p w:rsidR="008B6B0C" w:rsidRPr="00F30139" w:rsidRDefault="008B6B0C" w:rsidP="00A612AD">
            <w:pPr>
              <w:jc w:val="center"/>
              <w:rPr>
                <w:color w:val="000000"/>
                <w:sz w:val="20"/>
                <w:szCs w:val="20"/>
              </w:rPr>
            </w:pPr>
            <w:r w:rsidRPr="00F30139">
              <w:rPr>
                <w:color w:val="000000"/>
                <w:sz w:val="20"/>
                <w:szCs w:val="20"/>
              </w:rPr>
              <w:t>0</w:t>
            </w:r>
          </w:p>
        </w:tc>
        <w:tc>
          <w:tcPr>
            <w:tcW w:w="1116" w:type="dxa"/>
            <w:tcBorders>
              <w:bottom w:val="single" w:sz="4" w:space="0" w:color="auto"/>
            </w:tcBorders>
            <w:noWrap/>
            <w:vAlign w:val="center"/>
            <w:hideMark/>
          </w:tcPr>
          <w:p w:rsidR="008B6B0C" w:rsidRPr="00F30139" w:rsidRDefault="008B6B0C" w:rsidP="00A612AD">
            <w:pPr>
              <w:jc w:val="center"/>
              <w:rPr>
                <w:color w:val="000000"/>
                <w:sz w:val="20"/>
                <w:szCs w:val="20"/>
              </w:rPr>
            </w:pPr>
            <w:r w:rsidRPr="00F30139">
              <w:rPr>
                <w:color w:val="000000"/>
                <w:sz w:val="20"/>
                <w:szCs w:val="20"/>
              </w:rPr>
              <w:t>1</w:t>
            </w:r>
          </w:p>
        </w:tc>
        <w:tc>
          <w:tcPr>
            <w:tcW w:w="966" w:type="dxa"/>
            <w:tcBorders>
              <w:bottom w:val="single" w:sz="4" w:space="0" w:color="auto"/>
            </w:tcBorders>
            <w:noWrap/>
            <w:vAlign w:val="center"/>
            <w:hideMark/>
          </w:tcPr>
          <w:p w:rsidR="008B6B0C" w:rsidRPr="00F30139" w:rsidRDefault="008B6B0C" w:rsidP="00A612AD">
            <w:pPr>
              <w:jc w:val="center"/>
              <w:rPr>
                <w:color w:val="000000"/>
                <w:sz w:val="20"/>
                <w:szCs w:val="20"/>
              </w:rPr>
            </w:pPr>
            <w:r w:rsidRPr="00F30139">
              <w:rPr>
                <w:color w:val="000000"/>
                <w:sz w:val="20"/>
                <w:szCs w:val="20"/>
              </w:rPr>
              <w:t>0.399</w:t>
            </w:r>
          </w:p>
        </w:tc>
      </w:tr>
    </w:tbl>
    <w:p w:rsidR="008B6B0C" w:rsidRDefault="008B6B0C" w:rsidP="008B6B0C"/>
    <w:p w:rsidR="008B6B0C" w:rsidRDefault="008B6B0C" w:rsidP="008B6B0C">
      <w:r>
        <w:br w:type="page"/>
      </w:r>
    </w:p>
    <w:p w:rsidR="008B6B0C" w:rsidRPr="00980732" w:rsidRDefault="008B6B0C" w:rsidP="008B6B0C">
      <w:pPr>
        <w:rPr>
          <w:b/>
          <w:smallCaps/>
          <w:color w:val="030303"/>
          <w:sz w:val="22"/>
        </w:rPr>
      </w:pPr>
      <w:r w:rsidRPr="00980732">
        <w:rPr>
          <w:b/>
          <w:smallCaps/>
          <w:color w:val="030303"/>
          <w:sz w:val="22"/>
        </w:rPr>
        <w:lastRenderedPageBreak/>
        <w:t>Table 2</w:t>
      </w:r>
    </w:p>
    <w:p w:rsidR="008B6B0C" w:rsidRPr="00980732" w:rsidRDefault="008B6B0C" w:rsidP="008B6B0C">
      <w:pPr>
        <w:rPr>
          <w:color w:val="030303"/>
          <w:sz w:val="22"/>
        </w:rPr>
      </w:pPr>
      <w:proofErr w:type="spellStart"/>
      <w:r w:rsidRPr="00980732">
        <w:rPr>
          <w:color w:val="030303"/>
          <w:sz w:val="22"/>
        </w:rPr>
        <w:t>Univariate</w:t>
      </w:r>
      <w:proofErr w:type="spellEnd"/>
      <w:r w:rsidRPr="00980732">
        <w:rPr>
          <w:color w:val="030303"/>
          <w:sz w:val="22"/>
        </w:rPr>
        <w:t xml:space="preserve"> Comparisons – Mean Variable Values by Family Control</w:t>
      </w:r>
    </w:p>
    <w:tbl>
      <w:tblPr>
        <w:tblW w:w="6982" w:type="dxa"/>
        <w:tblInd w:w="93" w:type="dxa"/>
        <w:tblCellMar>
          <w:left w:w="0" w:type="dxa"/>
          <w:right w:w="43" w:type="dxa"/>
        </w:tblCellMar>
        <w:tblLook w:val="04A0"/>
      </w:tblPr>
      <w:tblGrid>
        <w:gridCol w:w="2023"/>
        <w:gridCol w:w="980"/>
        <w:gridCol w:w="18"/>
        <w:gridCol w:w="1385"/>
        <w:gridCol w:w="31"/>
        <w:gridCol w:w="1238"/>
        <w:gridCol w:w="39"/>
        <w:gridCol w:w="1266"/>
        <w:gridCol w:w="47"/>
      </w:tblGrid>
      <w:tr w:rsidR="008B6B0C" w:rsidRPr="00333A19" w:rsidTr="001C5112">
        <w:trPr>
          <w:trHeight w:val="300"/>
        </w:trPr>
        <w:tc>
          <w:tcPr>
            <w:tcW w:w="2015" w:type="dxa"/>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jc w:val="center"/>
              <w:rPr>
                <w:rFonts w:eastAsia="Times New Roman"/>
                <w:b/>
                <w:bCs/>
                <w:color w:val="000000"/>
                <w:sz w:val="20"/>
                <w:szCs w:val="20"/>
              </w:rPr>
            </w:pPr>
            <w:r w:rsidRPr="00333A19">
              <w:rPr>
                <w:rFonts w:eastAsia="Times New Roman"/>
                <w:b/>
                <w:bCs/>
                <w:color w:val="000000"/>
                <w:sz w:val="20"/>
                <w:szCs w:val="20"/>
              </w:rPr>
              <w:t>Variable</w:t>
            </w:r>
          </w:p>
        </w:tc>
        <w:tc>
          <w:tcPr>
            <w:tcW w:w="990" w:type="dxa"/>
            <w:gridSpan w:val="2"/>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jc w:val="center"/>
              <w:rPr>
                <w:rFonts w:eastAsia="Times New Roman"/>
                <w:b/>
                <w:bCs/>
                <w:color w:val="000000"/>
                <w:sz w:val="20"/>
                <w:szCs w:val="20"/>
              </w:rPr>
            </w:pPr>
            <w:r>
              <w:rPr>
                <w:rFonts w:eastAsia="Times New Roman"/>
                <w:b/>
                <w:bCs/>
                <w:color w:val="000000"/>
                <w:sz w:val="20"/>
                <w:szCs w:val="20"/>
              </w:rPr>
              <w:t>Family</w:t>
            </w:r>
          </w:p>
        </w:tc>
        <w:tc>
          <w:tcPr>
            <w:tcW w:w="1403" w:type="dxa"/>
            <w:gridSpan w:val="2"/>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jc w:val="center"/>
              <w:rPr>
                <w:rFonts w:eastAsia="Times New Roman"/>
                <w:b/>
                <w:bCs/>
                <w:color w:val="000000"/>
                <w:sz w:val="20"/>
                <w:szCs w:val="20"/>
              </w:rPr>
            </w:pPr>
            <w:r>
              <w:rPr>
                <w:rFonts w:eastAsia="Times New Roman"/>
                <w:b/>
                <w:bCs/>
                <w:color w:val="000000"/>
                <w:sz w:val="20"/>
                <w:szCs w:val="20"/>
              </w:rPr>
              <w:t>Non-Family</w:t>
            </w:r>
          </w:p>
        </w:tc>
        <w:tc>
          <w:tcPr>
            <w:tcW w:w="1269" w:type="dxa"/>
            <w:gridSpan w:val="2"/>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jc w:val="center"/>
              <w:rPr>
                <w:rFonts w:eastAsia="Times New Roman"/>
                <w:b/>
                <w:bCs/>
                <w:color w:val="000000"/>
                <w:sz w:val="20"/>
                <w:szCs w:val="20"/>
              </w:rPr>
            </w:pPr>
            <w:r w:rsidRPr="00333A19">
              <w:rPr>
                <w:rFonts w:eastAsia="Times New Roman"/>
                <w:b/>
                <w:bCs/>
                <w:color w:val="000000"/>
                <w:sz w:val="20"/>
                <w:szCs w:val="20"/>
              </w:rPr>
              <w:t>Difference</w:t>
            </w:r>
          </w:p>
        </w:tc>
        <w:tc>
          <w:tcPr>
            <w:tcW w:w="1305" w:type="dxa"/>
            <w:gridSpan w:val="2"/>
            <w:tcBorders>
              <w:left w:val="nil"/>
              <w:right w:val="nil"/>
            </w:tcBorders>
            <w:shd w:val="clear" w:color="auto" w:fill="auto"/>
            <w:noWrap/>
            <w:vAlign w:val="center"/>
            <w:hideMark/>
          </w:tcPr>
          <w:p w:rsidR="008B6B0C" w:rsidRPr="00333A19" w:rsidRDefault="008B6B0C" w:rsidP="00A612AD">
            <w:pPr>
              <w:rPr>
                <w:rFonts w:eastAsia="Times New Roman"/>
                <w:b/>
                <w:bCs/>
                <w:color w:val="000000"/>
                <w:sz w:val="20"/>
                <w:szCs w:val="20"/>
              </w:rPr>
            </w:pPr>
          </w:p>
        </w:tc>
      </w:tr>
      <w:tr w:rsidR="008B6B0C" w:rsidRPr="00333A19" w:rsidTr="001C5112">
        <w:trPr>
          <w:trHeight w:val="300"/>
        </w:trPr>
        <w:tc>
          <w:tcPr>
            <w:tcW w:w="2015" w:type="dxa"/>
            <w:tcBorders>
              <w:top w:val="single" w:sz="4" w:space="0" w:color="auto"/>
              <w:left w:val="nil"/>
              <w:right w:val="nil"/>
            </w:tcBorders>
            <w:shd w:val="clear" w:color="auto" w:fill="auto"/>
            <w:noWrap/>
            <w:vAlign w:val="center"/>
            <w:hideMark/>
          </w:tcPr>
          <w:p w:rsidR="008B6B0C" w:rsidRPr="0024111F" w:rsidRDefault="008B6B0C" w:rsidP="00A612AD">
            <w:pPr>
              <w:rPr>
                <w:rFonts w:eastAsia="Times New Roman"/>
                <w:i/>
                <w:color w:val="000000"/>
                <w:sz w:val="20"/>
                <w:szCs w:val="20"/>
              </w:rPr>
            </w:pPr>
          </w:p>
          <w:p w:rsidR="008B6B0C" w:rsidRPr="0024111F" w:rsidRDefault="008B6B0C" w:rsidP="00A612AD">
            <w:pPr>
              <w:rPr>
                <w:rFonts w:eastAsia="Times New Roman"/>
                <w:i/>
                <w:color w:val="000000"/>
                <w:sz w:val="20"/>
                <w:szCs w:val="20"/>
              </w:rPr>
            </w:pPr>
            <w:r w:rsidRPr="0024111F">
              <w:rPr>
                <w:rFonts w:eastAsia="Times New Roman"/>
                <w:i/>
                <w:color w:val="000000"/>
                <w:sz w:val="20"/>
                <w:szCs w:val="20"/>
              </w:rPr>
              <w:t>Performance Variables</w:t>
            </w:r>
          </w:p>
        </w:tc>
        <w:tc>
          <w:tcPr>
            <w:tcW w:w="990" w:type="dxa"/>
            <w:gridSpan w:val="2"/>
            <w:tcBorders>
              <w:top w:val="single" w:sz="4" w:space="0" w:color="auto"/>
              <w:left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403" w:type="dxa"/>
            <w:gridSpan w:val="2"/>
            <w:tcBorders>
              <w:top w:val="single" w:sz="4" w:space="0" w:color="auto"/>
              <w:left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269" w:type="dxa"/>
            <w:gridSpan w:val="2"/>
            <w:tcBorders>
              <w:top w:val="single" w:sz="4" w:space="0" w:color="auto"/>
              <w:left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305" w:type="dxa"/>
            <w:gridSpan w:val="2"/>
            <w:tcBorders>
              <w:left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roofErr w:type="spellStart"/>
            <w:r w:rsidRPr="0024111F">
              <w:rPr>
                <w:rFonts w:eastAsia="Times New Roman"/>
                <w:color w:val="000000"/>
                <w:sz w:val="20"/>
                <w:szCs w:val="20"/>
              </w:rPr>
              <w:t>Tobins</w:t>
            </w:r>
            <w:proofErr w:type="spellEnd"/>
            <w:r w:rsidRPr="0024111F">
              <w:rPr>
                <w:rFonts w:eastAsia="Times New Roman"/>
                <w:color w:val="000000"/>
                <w:sz w:val="20"/>
                <w:szCs w:val="20"/>
              </w:rPr>
              <w:t xml:space="preserve"> q</w:t>
            </w:r>
          </w:p>
        </w:tc>
        <w:tc>
          <w:tcPr>
            <w:tcW w:w="990" w:type="dxa"/>
            <w:gridSpan w:val="2"/>
            <w:tcBorders>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1.198</w:t>
            </w:r>
          </w:p>
        </w:tc>
        <w:tc>
          <w:tcPr>
            <w:tcW w:w="1403" w:type="dxa"/>
            <w:gridSpan w:val="2"/>
            <w:tcBorders>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1.136</w:t>
            </w:r>
          </w:p>
        </w:tc>
        <w:tc>
          <w:tcPr>
            <w:tcW w:w="1269" w:type="dxa"/>
            <w:gridSpan w:val="2"/>
            <w:tcBorders>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0.061</w:t>
            </w:r>
          </w:p>
        </w:tc>
        <w:tc>
          <w:tcPr>
            <w:tcW w:w="1305" w:type="dxa"/>
            <w:gridSpan w:val="2"/>
            <w:tcBorders>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FE4996">
            <w:pPr>
              <w:rPr>
                <w:rFonts w:eastAsia="Times New Roman"/>
                <w:color w:val="000000"/>
                <w:sz w:val="20"/>
                <w:szCs w:val="20"/>
              </w:rPr>
            </w:pPr>
            <w:r w:rsidRPr="0024111F">
              <w:rPr>
                <w:rFonts w:eastAsia="Times New Roman"/>
                <w:color w:val="000000"/>
                <w:sz w:val="20"/>
                <w:szCs w:val="20"/>
              </w:rPr>
              <w:t>LN</w:t>
            </w:r>
            <w:r w:rsidR="00FD408F">
              <w:rPr>
                <w:rFonts w:eastAsia="Times New Roman"/>
                <w:color w:val="000000"/>
                <w:sz w:val="20"/>
                <w:szCs w:val="20"/>
              </w:rPr>
              <w:t>(</w:t>
            </w:r>
            <w:proofErr w:type="spellStart"/>
            <w:r w:rsidRPr="0024111F">
              <w:rPr>
                <w:rFonts w:eastAsia="Times New Roman"/>
                <w:color w:val="000000"/>
                <w:sz w:val="20"/>
                <w:szCs w:val="20"/>
              </w:rPr>
              <w:t>Tobins</w:t>
            </w:r>
            <w:proofErr w:type="spellEnd"/>
            <w:r w:rsidRPr="0024111F">
              <w:rPr>
                <w:rFonts w:eastAsia="Times New Roman"/>
                <w:color w:val="000000"/>
                <w:sz w:val="20"/>
                <w:szCs w:val="20"/>
              </w:rPr>
              <w:t xml:space="preserve"> q</w:t>
            </w:r>
            <w:r w:rsidR="00FD408F">
              <w:rPr>
                <w:rFonts w:eastAsia="Times New Roman"/>
                <w:color w:val="000000"/>
                <w:sz w:val="20"/>
                <w:szCs w:val="20"/>
              </w:rPr>
              <w:t>)</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0.072</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0.028</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0.044</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ROA</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0.021</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0.024</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-0.003</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ROE</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0.088</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0.090</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-0.001</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i/>
                <w:color w:val="000000"/>
                <w:sz w:val="20"/>
                <w:szCs w:val="20"/>
              </w:rPr>
            </w:pPr>
          </w:p>
          <w:p w:rsidR="008B6B0C" w:rsidRPr="0024111F" w:rsidRDefault="008B6B0C" w:rsidP="00A612AD">
            <w:pPr>
              <w:rPr>
                <w:rFonts w:eastAsia="Times New Roman"/>
                <w:i/>
                <w:color w:val="000000"/>
                <w:sz w:val="20"/>
                <w:szCs w:val="20"/>
              </w:rPr>
            </w:pPr>
            <w:r w:rsidRPr="0024111F">
              <w:rPr>
                <w:rFonts w:eastAsia="Times New Roman"/>
                <w:i/>
                <w:color w:val="000000"/>
                <w:sz w:val="20"/>
                <w:szCs w:val="20"/>
              </w:rPr>
              <w:t>Governance Variables</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Duality</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0.542</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0.534</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0.007</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D&amp;O Pct</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0.059</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0.047</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0.012</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roofErr w:type="spellStart"/>
            <w:r w:rsidRPr="0024111F">
              <w:rPr>
                <w:rFonts w:eastAsia="Times New Roman"/>
                <w:color w:val="000000"/>
                <w:sz w:val="20"/>
                <w:szCs w:val="20"/>
              </w:rPr>
              <w:t>Blockholder</w:t>
            </w:r>
            <w:proofErr w:type="spellEnd"/>
            <w:r w:rsidRPr="0024111F">
              <w:rPr>
                <w:rFonts w:eastAsia="Times New Roman"/>
                <w:color w:val="000000"/>
                <w:sz w:val="20"/>
                <w:szCs w:val="20"/>
              </w:rPr>
              <w:t xml:space="preserve"> Pct</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0.193</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0.235</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-0.042</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Blackrock</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0.144</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0.516</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-0.372</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A5732F" w:rsidP="00FE4996">
            <w:pPr>
              <w:rPr>
                <w:rFonts w:eastAsia="Times New Roman"/>
                <w:color w:val="000000"/>
                <w:sz w:val="20"/>
                <w:szCs w:val="20"/>
              </w:rPr>
            </w:pPr>
            <w:r>
              <w:rPr>
                <w:rFonts w:eastAsia="Times New Roman"/>
                <w:color w:val="000000"/>
                <w:sz w:val="20"/>
                <w:szCs w:val="20"/>
              </w:rPr>
              <w:t>Log Current Comp</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7.391</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7.959</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-0.568</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A5732F" w:rsidP="00A612AD">
            <w:pPr>
              <w:rPr>
                <w:rFonts w:eastAsia="Times New Roman"/>
                <w:color w:val="000000"/>
                <w:sz w:val="20"/>
                <w:szCs w:val="20"/>
              </w:rPr>
            </w:pPr>
            <w:r>
              <w:rPr>
                <w:rFonts w:eastAsia="Times New Roman"/>
                <w:color w:val="000000"/>
                <w:sz w:val="20"/>
                <w:szCs w:val="20"/>
              </w:rPr>
              <w:t>Forward Comp</w:t>
            </w:r>
            <w:r w:rsidR="008B6B0C" w:rsidRPr="0024111F">
              <w:rPr>
                <w:rFonts w:eastAsia="Times New Roman"/>
                <w:color w:val="000000"/>
                <w:sz w:val="20"/>
                <w:szCs w:val="20"/>
              </w:rPr>
              <w:t xml:space="preserve"> Pct</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0.220</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0.404</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-0.184</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Leverage</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0.736</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0.773</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-0.037</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i/>
                <w:color w:val="000000"/>
                <w:sz w:val="20"/>
                <w:szCs w:val="20"/>
              </w:rPr>
            </w:pPr>
          </w:p>
          <w:p w:rsidR="008B6B0C" w:rsidRPr="0024111F" w:rsidRDefault="008B6B0C" w:rsidP="00A612AD">
            <w:pPr>
              <w:rPr>
                <w:rFonts w:eastAsia="Times New Roman"/>
                <w:i/>
                <w:color w:val="000000"/>
                <w:sz w:val="20"/>
                <w:szCs w:val="20"/>
              </w:rPr>
            </w:pPr>
            <w:r w:rsidRPr="0024111F">
              <w:rPr>
                <w:rFonts w:eastAsia="Times New Roman"/>
                <w:i/>
                <w:color w:val="000000"/>
                <w:sz w:val="20"/>
                <w:szCs w:val="20"/>
              </w:rPr>
              <w:t>Control Variables</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Liquidity</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0.132</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0.191</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-0.058</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680EDB" w:rsidTr="001C5112">
        <w:trPr>
          <w:trHeight w:val="300"/>
        </w:trPr>
        <w:tc>
          <w:tcPr>
            <w:tcW w:w="2015" w:type="dxa"/>
            <w:tcBorders>
              <w:top w:val="nil"/>
              <w:left w:val="nil"/>
              <w:bottom w:val="nil"/>
              <w:right w:val="nil"/>
            </w:tcBorders>
            <w:shd w:val="clear" w:color="auto" w:fill="auto"/>
            <w:noWrap/>
            <w:vAlign w:val="center"/>
            <w:hideMark/>
          </w:tcPr>
          <w:p w:rsidR="008B6B0C" w:rsidRPr="00680EDB" w:rsidRDefault="008B6B0C" w:rsidP="00A612AD">
            <w:pPr>
              <w:rPr>
                <w:rFonts w:eastAsia="Times New Roman"/>
                <w:color w:val="000000"/>
                <w:sz w:val="20"/>
                <w:szCs w:val="20"/>
              </w:rPr>
            </w:pPr>
            <w:r w:rsidRPr="00680EDB">
              <w:rPr>
                <w:rFonts w:eastAsia="Times New Roman"/>
                <w:color w:val="000000"/>
                <w:sz w:val="20"/>
                <w:szCs w:val="20"/>
              </w:rPr>
              <w:t>Extreme Liquid</w:t>
            </w:r>
          </w:p>
        </w:tc>
        <w:tc>
          <w:tcPr>
            <w:tcW w:w="990" w:type="dxa"/>
            <w:gridSpan w:val="2"/>
            <w:tcBorders>
              <w:top w:val="nil"/>
              <w:left w:val="nil"/>
              <w:bottom w:val="nil"/>
              <w:right w:val="nil"/>
            </w:tcBorders>
            <w:shd w:val="clear" w:color="auto" w:fill="auto"/>
            <w:noWrap/>
            <w:vAlign w:val="center"/>
            <w:hideMark/>
          </w:tcPr>
          <w:p w:rsidR="008B6B0C" w:rsidRPr="00680EDB" w:rsidRDefault="008B6B0C" w:rsidP="00A612AD">
            <w:pPr>
              <w:jc w:val="right"/>
              <w:rPr>
                <w:color w:val="000000"/>
                <w:sz w:val="20"/>
                <w:szCs w:val="20"/>
              </w:rPr>
            </w:pPr>
            <w:r w:rsidRPr="00680EDB">
              <w:rPr>
                <w:color w:val="000000"/>
                <w:sz w:val="20"/>
                <w:szCs w:val="20"/>
              </w:rPr>
              <w:t>0.140</w:t>
            </w:r>
          </w:p>
        </w:tc>
        <w:tc>
          <w:tcPr>
            <w:tcW w:w="1403" w:type="dxa"/>
            <w:gridSpan w:val="2"/>
            <w:tcBorders>
              <w:top w:val="nil"/>
              <w:left w:val="nil"/>
              <w:bottom w:val="nil"/>
              <w:right w:val="nil"/>
            </w:tcBorders>
            <w:shd w:val="clear" w:color="auto" w:fill="auto"/>
            <w:noWrap/>
            <w:vAlign w:val="center"/>
            <w:hideMark/>
          </w:tcPr>
          <w:p w:rsidR="008B6B0C" w:rsidRPr="00680EDB" w:rsidRDefault="008B6B0C" w:rsidP="00A612AD">
            <w:pPr>
              <w:jc w:val="right"/>
              <w:rPr>
                <w:color w:val="000000"/>
                <w:sz w:val="20"/>
                <w:szCs w:val="20"/>
              </w:rPr>
            </w:pPr>
            <w:r w:rsidRPr="00680EDB">
              <w:rPr>
                <w:color w:val="000000"/>
                <w:sz w:val="20"/>
                <w:szCs w:val="20"/>
              </w:rPr>
              <w:t>0.087</w:t>
            </w:r>
          </w:p>
        </w:tc>
        <w:tc>
          <w:tcPr>
            <w:tcW w:w="1269" w:type="dxa"/>
            <w:gridSpan w:val="2"/>
            <w:tcBorders>
              <w:top w:val="nil"/>
              <w:left w:val="nil"/>
              <w:bottom w:val="nil"/>
              <w:right w:val="nil"/>
            </w:tcBorders>
            <w:shd w:val="clear" w:color="auto" w:fill="auto"/>
            <w:noWrap/>
            <w:vAlign w:val="center"/>
            <w:hideMark/>
          </w:tcPr>
          <w:p w:rsidR="008B6B0C" w:rsidRPr="00680EDB" w:rsidRDefault="008B6B0C" w:rsidP="00A612AD">
            <w:pPr>
              <w:jc w:val="right"/>
              <w:rPr>
                <w:color w:val="000000"/>
                <w:sz w:val="20"/>
                <w:szCs w:val="20"/>
              </w:rPr>
            </w:pPr>
            <w:r w:rsidRPr="00680EDB">
              <w:rPr>
                <w:color w:val="000000"/>
                <w:sz w:val="20"/>
                <w:szCs w:val="20"/>
              </w:rPr>
              <w:t>0.053</w:t>
            </w:r>
          </w:p>
        </w:tc>
        <w:tc>
          <w:tcPr>
            <w:tcW w:w="1305" w:type="dxa"/>
            <w:gridSpan w:val="2"/>
            <w:tcBorders>
              <w:top w:val="nil"/>
              <w:left w:val="nil"/>
              <w:bottom w:val="nil"/>
              <w:right w:val="nil"/>
            </w:tcBorders>
            <w:shd w:val="clear" w:color="auto" w:fill="auto"/>
            <w:noWrap/>
            <w:vAlign w:val="center"/>
            <w:hideMark/>
          </w:tcPr>
          <w:p w:rsidR="008B6B0C" w:rsidRPr="00680EDB" w:rsidRDefault="008B6B0C" w:rsidP="00A612AD">
            <w:pPr>
              <w:rPr>
                <w:color w:val="000000"/>
                <w:sz w:val="20"/>
                <w:szCs w:val="20"/>
              </w:rPr>
            </w:pPr>
            <w:r w:rsidRPr="00680EDB">
              <w:rPr>
                <w:color w:val="000000"/>
                <w:sz w:val="20"/>
                <w:szCs w:val="20"/>
              </w:rPr>
              <w:t>**</w:t>
            </w:r>
          </w:p>
        </w:tc>
      </w:tr>
      <w:tr w:rsidR="008B6B0C" w:rsidRPr="00333A19" w:rsidTr="001C5112">
        <w:trPr>
          <w:gridAfter w:val="1"/>
          <w:wAfter w:w="42" w:type="dxa"/>
          <w:trHeight w:val="300"/>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Risk</w:t>
            </w:r>
          </w:p>
        </w:tc>
        <w:tc>
          <w:tcPr>
            <w:tcW w:w="972" w:type="dxa"/>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1.495</w:t>
            </w:r>
          </w:p>
        </w:tc>
        <w:tc>
          <w:tcPr>
            <w:tcW w:w="1395"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1.202</w:t>
            </w:r>
          </w:p>
        </w:tc>
        <w:tc>
          <w:tcPr>
            <w:tcW w:w="1261"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0.292</w:t>
            </w:r>
          </w:p>
        </w:tc>
        <w:tc>
          <w:tcPr>
            <w:tcW w:w="1297"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2"/>
        </w:trPr>
        <w:tc>
          <w:tcPr>
            <w:tcW w:w="2015" w:type="dxa"/>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Size - LN Total Assets</w:t>
            </w:r>
          </w:p>
        </w:tc>
        <w:tc>
          <w:tcPr>
            <w:tcW w:w="990"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8.235</w:t>
            </w:r>
          </w:p>
        </w:tc>
        <w:tc>
          <w:tcPr>
            <w:tcW w:w="1403"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9.739</w:t>
            </w:r>
          </w:p>
        </w:tc>
        <w:tc>
          <w:tcPr>
            <w:tcW w:w="1269" w:type="dxa"/>
            <w:gridSpan w:val="2"/>
            <w:tcBorders>
              <w:top w:val="nil"/>
              <w:left w:val="nil"/>
              <w:bottom w:val="nil"/>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-1.504</w:t>
            </w:r>
          </w:p>
        </w:tc>
        <w:tc>
          <w:tcPr>
            <w:tcW w:w="1305" w:type="dxa"/>
            <w:gridSpan w:val="2"/>
            <w:tcBorders>
              <w:top w:val="nil"/>
              <w:left w:val="nil"/>
              <w:bottom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r w:rsidRPr="0024111F">
              <w:rPr>
                <w:rFonts w:eastAsia="Times New Roman"/>
                <w:color w:val="000000"/>
                <w:sz w:val="20"/>
                <w:szCs w:val="20"/>
              </w:rPr>
              <w:t>***</w:t>
            </w:r>
          </w:p>
        </w:tc>
      </w:tr>
      <w:tr w:rsidR="008B6B0C" w:rsidRPr="00333A19" w:rsidTr="001C5112">
        <w:trPr>
          <w:trHeight w:val="302"/>
        </w:trPr>
        <w:tc>
          <w:tcPr>
            <w:tcW w:w="2015" w:type="dxa"/>
            <w:tcBorders>
              <w:top w:val="nil"/>
              <w:left w:val="nil"/>
              <w:bottom w:val="single" w:sz="4" w:space="0" w:color="auto"/>
              <w:right w:val="nil"/>
            </w:tcBorders>
            <w:shd w:val="clear" w:color="auto" w:fill="auto"/>
            <w:noWrap/>
            <w:vAlign w:val="center"/>
            <w:hideMark/>
          </w:tcPr>
          <w:p w:rsidR="008B6B0C" w:rsidRPr="0024111F" w:rsidRDefault="008B6B0C" w:rsidP="00A612AD">
            <w:pPr>
              <w:rPr>
                <w:rFonts w:eastAsia="Times New Roman"/>
                <w:color w:val="000000"/>
                <w:sz w:val="20"/>
                <w:szCs w:val="20"/>
              </w:rPr>
            </w:pPr>
            <w:r>
              <w:rPr>
                <w:rFonts w:eastAsia="Times New Roman"/>
                <w:color w:val="000000"/>
                <w:sz w:val="20"/>
                <w:szCs w:val="20"/>
              </w:rPr>
              <w:t>Focus</w:t>
            </w:r>
          </w:p>
        </w:tc>
        <w:tc>
          <w:tcPr>
            <w:tcW w:w="990" w:type="dxa"/>
            <w:gridSpan w:val="2"/>
            <w:tcBorders>
              <w:top w:val="nil"/>
              <w:left w:val="nil"/>
              <w:bottom w:val="single" w:sz="4" w:space="0" w:color="auto"/>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0.205</w:t>
            </w:r>
          </w:p>
        </w:tc>
        <w:tc>
          <w:tcPr>
            <w:tcW w:w="1403" w:type="dxa"/>
            <w:gridSpan w:val="2"/>
            <w:tcBorders>
              <w:top w:val="nil"/>
              <w:left w:val="nil"/>
              <w:bottom w:val="single" w:sz="4" w:space="0" w:color="auto"/>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0.194</w:t>
            </w:r>
          </w:p>
        </w:tc>
        <w:tc>
          <w:tcPr>
            <w:tcW w:w="1269" w:type="dxa"/>
            <w:gridSpan w:val="2"/>
            <w:tcBorders>
              <w:top w:val="nil"/>
              <w:left w:val="nil"/>
              <w:bottom w:val="single" w:sz="4" w:space="0" w:color="auto"/>
              <w:right w:val="nil"/>
            </w:tcBorders>
            <w:shd w:val="clear" w:color="auto" w:fill="auto"/>
            <w:noWrap/>
            <w:vAlign w:val="center"/>
            <w:hideMark/>
          </w:tcPr>
          <w:p w:rsidR="008B6B0C" w:rsidRPr="0024111F" w:rsidRDefault="008B6B0C" w:rsidP="00A612AD">
            <w:pPr>
              <w:jc w:val="right"/>
              <w:rPr>
                <w:color w:val="000000"/>
                <w:sz w:val="20"/>
                <w:szCs w:val="20"/>
              </w:rPr>
            </w:pPr>
            <w:r w:rsidRPr="0024111F">
              <w:rPr>
                <w:color w:val="000000"/>
                <w:sz w:val="20"/>
                <w:szCs w:val="20"/>
              </w:rPr>
              <w:t>0.010</w:t>
            </w:r>
          </w:p>
        </w:tc>
        <w:tc>
          <w:tcPr>
            <w:tcW w:w="1305" w:type="dxa"/>
            <w:gridSpan w:val="2"/>
            <w:tcBorders>
              <w:top w:val="nil"/>
              <w:left w:val="nil"/>
              <w:right w:val="nil"/>
            </w:tcBorders>
            <w:shd w:val="clear" w:color="auto" w:fill="auto"/>
            <w:noWrap/>
            <w:vAlign w:val="center"/>
            <w:hideMark/>
          </w:tcPr>
          <w:p w:rsidR="008B6B0C" w:rsidRPr="0024111F" w:rsidRDefault="008B6B0C" w:rsidP="00A612AD">
            <w:pPr>
              <w:rPr>
                <w:rFonts w:eastAsia="Times New Roman"/>
                <w:color w:val="000000"/>
                <w:sz w:val="20"/>
                <w:szCs w:val="20"/>
              </w:rPr>
            </w:pPr>
          </w:p>
        </w:tc>
      </w:tr>
      <w:tr w:rsidR="008B6B0C" w:rsidRPr="00333A19" w:rsidTr="001C5112">
        <w:trPr>
          <w:trHeight w:val="300"/>
        </w:trPr>
        <w:tc>
          <w:tcPr>
            <w:tcW w:w="2015" w:type="dxa"/>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rPr>
                <w:rFonts w:eastAsia="Times New Roman"/>
                <w:color w:val="000000"/>
                <w:sz w:val="20"/>
                <w:szCs w:val="20"/>
              </w:rPr>
            </w:pPr>
            <w:r>
              <w:rPr>
                <w:rFonts w:eastAsia="Times New Roman"/>
                <w:color w:val="000000"/>
                <w:sz w:val="20"/>
                <w:szCs w:val="20"/>
              </w:rPr>
              <w:t>N-</w:t>
            </w:r>
            <w:proofErr w:type="spellStart"/>
            <w:r>
              <w:rPr>
                <w:rFonts w:eastAsia="Times New Roman"/>
                <w:color w:val="000000"/>
                <w:sz w:val="20"/>
                <w:szCs w:val="20"/>
              </w:rPr>
              <w:t>obs</w:t>
            </w:r>
            <w:proofErr w:type="spellEnd"/>
          </w:p>
        </w:tc>
        <w:tc>
          <w:tcPr>
            <w:tcW w:w="990" w:type="dxa"/>
            <w:gridSpan w:val="2"/>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jc w:val="right"/>
              <w:rPr>
                <w:rFonts w:eastAsia="Times New Roman"/>
                <w:color w:val="000000"/>
                <w:sz w:val="20"/>
                <w:szCs w:val="20"/>
              </w:rPr>
            </w:pPr>
            <w:r>
              <w:rPr>
                <w:rFonts w:eastAsia="Times New Roman"/>
                <w:color w:val="000000"/>
                <w:sz w:val="20"/>
                <w:szCs w:val="20"/>
              </w:rPr>
              <w:t>702</w:t>
            </w:r>
          </w:p>
        </w:tc>
        <w:tc>
          <w:tcPr>
            <w:tcW w:w="1403" w:type="dxa"/>
            <w:gridSpan w:val="2"/>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jc w:val="right"/>
              <w:rPr>
                <w:rFonts w:eastAsia="Times New Roman"/>
                <w:color w:val="000000"/>
                <w:sz w:val="20"/>
                <w:szCs w:val="20"/>
              </w:rPr>
            </w:pPr>
            <w:r>
              <w:rPr>
                <w:rFonts w:eastAsia="Times New Roman"/>
                <w:color w:val="000000"/>
                <w:sz w:val="20"/>
                <w:szCs w:val="20"/>
              </w:rPr>
              <w:t>430</w:t>
            </w:r>
          </w:p>
        </w:tc>
        <w:tc>
          <w:tcPr>
            <w:tcW w:w="1269" w:type="dxa"/>
            <w:gridSpan w:val="2"/>
            <w:tcBorders>
              <w:top w:val="single" w:sz="4" w:space="0" w:color="auto"/>
              <w:left w:val="nil"/>
              <w:bottom w:val="single" w:sz="4" w:space="0" w:color="auto"/>
              <w:right w:val="nil"/>
            </w:tcBorders>
            <w:shd w:val="clear" w:color="auto" w:fill="auto"/>
            <w:noWrap/>
            <w:vAlign w:val="center"/>
            <w:hideMark/>
          </w:tcPr>
          <w:p w:rsidR="008B6B0C" w:rsidRPr="00333A19" w:rsidRDefault="008B6B0C" w:rsidP="00A612AD">
            <w:pPr>
              <w:jc w:val="right"/>
              <w:rPr>
                <w:rFonts w:eastAsia="Times New Roman"/>
                <w:color w:val="000000"/>
                <w:sz w:val="20"/>
                <w:szCs w:val="20"/>
              </w:rPr>
            </w:pPr>
            <w:r>
              <w:rPr>
                <w:rFonts w:eastAsia="Times New Roman"/>
                <w:color w:val="000000"/>
                <w:sz w:val="20"/>
                <w:szCs w:val="20"/>
              </w:rPr>
              <w:t>272</w:t>
            </w:r>
          </w:p>
        </w:tc>
        <w:tc>
          <w:tcPr>
            <w:tcW w:w="1305" w:type="dxa"/>
            <w:gridSpan w:val="2"/>
            <w:tcBorders>
              <w:left w:val="nil"/>
              <w:right w:val="nil"/>
            </w:tcBorders>
            <w:shd w:val="clear" w:color="auto" w:fill="auto"/>
            <w:noWrap/>
            <w:vAlign w:val="bottom"/>
            <w:hideMark/>
          </w:tcPr>
          <w:p w:rsidR="008B6B0C" w:rsidRPr="00333A19" w:rsidRDefault="008B6B0C" w:rsidP="00A612AD">
            <w:pPr>
              <w:rPr>
                <w:rFonts w:eastAsia="Times New Roman"/>
                <w:color w:val="000000"/>
                <w:sz w:val="20"/>
                <w:szCs w:val="20"/>
              </w:rPr>
            </w:pPr>
          </w:p>
        </w:tc>
      </w:tr>
    </w:tbl>
    <w:p w:rsidR="008B6B0C" w:rsidRDefault="008B6B0C" w:rsidP="008B6B0C">
      <w:r w:rsidRPr="00ED093D">
        <w:rPr>
          <w:sz w:val="20"/>
        </w:rPr>
        <w:t>*, **, and *** indicate significance at the 10%, 5%, and 1% levels, respectively.</w:t>
      </w:r>
    </w:p>
    <w:p w:rsidR="008B6B0C" w:rsidRDefault="008B6B0C" w:rsidP="008B6B0C">
      <w:r>
        <w:br w:type="page"/>
      </w:r>
    </w:p>
    <w:p w:rsidR="008B6B0C" w:rsidRDefault="008B6B0C" w:rsidP="008B6B0C">
      <w:pPr>
        <w:rPr>
          <w:b/>
          <w:smallCaps/>
        </w:rPr>
        <w:sectPr w:rsidR="008B6B0C" w:rsidSect="008B6B0C">
          <w:footerReference w:type="default" r:id="rId8"/>
          <w:type w:val="continuous"/>
          <w:pgSz w:w="12240" w:h="15840" w:code="1"/>
          <w:pgMar w:top="1440" w:right="1440" w:bottom="1440" w:left="1440" w:header="720" w:footer="720" w:gutter="0"/>
          <w:cols w:space="720"/>
          <w:docGrid w:linePitch="360"/>
        </w:sectPr>
      </w:pPr>
    </w:p>
    <w:p w:rsidR="008B6B0C" w:rsidRPr="00980732" w:rsidRDefault="008B6B0C" w:rsidP="008B6B0C">
      <w:pPr>
        <w:rPr>
          <w:b/>
          <w:smallCaps/>
          <w:sz w:val="22"/>
        </w:rPr>
      </w:pPr>
      <w:r w:rsidRPr="00980732">
        <w:rPr>
          <w:b/>
          <w:smallCaps/>
          <w:sz w:val="22"/>
        </w:rPr>
        <w:lastRenderedPageBreak/>
        <w:t>Table 3</w:t>
      </w:r>
    </w:p>
    <w:p w:rsidR="008B6B0C" w:rsidRPr="00980732" w:rsidRDefault="008B6B0C" w:rsidP="008B6B0C">
      <w:pPr>
        <w:rPr>
          <w:sz w:val="22"/>
        </w:rPr>
      </w:pPr>
      <w:r w:rsidRPr="00980732">
        <w:rPr>
          <w:sz w:val="22"/>
        </w:rPr>
        <w:t>Correlation Matrix (N=702)</w:t>
      </w:r>
    </w:p>
    <w:tbl>
      <w:tblPr>
        <w:tblStyle w:val="TableGrid"/>
        <w:tblW w:w="13515" w:type="dxa"/>
        <w:tblLook w:val="04A0"/>
      </w:tblPr>
      <w:tblGrid>
        <w:gridCol w:w="2283"/>
        <w:gridCol w:w="872"/>
        <w:gridCol w:w="864"/>
        <w:gridCol w:w="864"/>
        <w:gridCol w:w="864"/>
        <w:gridCol w:w="864"/>
        <w:gridCol w:w="864"/>
        <w:gridCol w:w="864"/>
        <w:gridCol w:w="864"/>
        <w:gridCol w:w="864"/>
        <w:gridCol w:w="864"/>
        <w:gridCol w:w="864"/>
        <w:gridCol w:w="864"/>
        <w:gridCol w:w="864"/>
      </w:tblGrid>
      <w:tr w:rsidR="008B6B0C" w:rsidRPr="00412D45" w:rsidTr="00B82F68">
        <w:trPr>
          <w:trHeight w:val="302"/>
        </w:trPr>
        <w:tc>
          <w:tcPr>
            <w:tcW w:w="2283" w:type="dxa"/>
            <w:hideMark/>
          </w:tcPr>
          <w:p w:rsidR="008B6B0C" w:rsidRPr="00412D45" w:rsidRDefault="008B6B0C" w:rsidP="00A612AD">
            <w:pPr>
              <w:rPr>
                <w:rFonts w:eastAsia="Times New Roman"/>
                <w:color w:val="000000"/>
                <w:sz w:val="20"/>
                <w:szCs w:val="20"/>
              </w:rPr>
            </w:pPr>
          </w:p>
        </w:tc>
        <w:tc>
          <w:tcPr>
            <w:tcW w:w="864" w:type="dxa"/>
            <w:vAlign w:val="center"/>
            <w:hideMark/>
          </w:tcPr>
          <w:p w:rsidR="008B6B0C" w:rsidRPr="00412D45" w:rsidRDefault="00A5732F" w:rsidP="00EB01D8">
            <w:pPr>
              <w:jc w:val="center"/>
              <w:rPr>
                <w:rFonts w:eastAsia="Times New Roman"/>
                <w:b/>
                <w:bCs/>
                <w:color w:val="000000"/>
                <w:sz w:val="20"/>
                <w:szCs w:val="20"/>
              </w:rPr>
            </w:pPr>
            <w:r>
              <w:rPr>
                <w:rFonts w:eastAsia="Times New Roman"/>
                <w:b/>
                <w:bCs/>
                <w:color w:val="000000"/>
                <w:sz w:val="20"/>
                <w:szCs w:val="20"/>
              </w:rPr>
              <w:t>LN(</w:t>
            </w:r>
            <w:proofErr w:type="spellStart"/>
            <w:r w:rsidR="008B6B0C">
              <w:rPr>
                <w:rFonts w:eastAsia="Times New Roman"/>
                <w:b/>
                <w:bCs/>
                <w:color w:val="000000"/>
                <w:sz w:val="20"/>
                <w:szCs w:val="20"/>
              </w:rPr>
              <w:t>Tq</w:t>
            </w:r>
            <w:proofErr w:type="spellEnd"/>
            <w:r w:rsidR="00FD408F">
              <w:rPr>
                <w:rFonts w:eastAsia="Times New Roman"/>
                <w:b/>
                <w:bCs/>
                <w:color w:val="000000"/>
                <w:sz w:val="20"/>
                <w:szCs w:val="20"/>
              </w:rPr>
              <w:t>)</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2</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3</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4</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5</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6</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7</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8</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9</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10</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11</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12</w:t>
            </w:r>
          </w:p>
        </w:tc>
        <w:tc>
          <w:tcPr>
            <w:tcW w:w="864" w:type="dxa"/>
            <w:vAlign w:val="center"/>
            <w:hideMark/>
          </w:tcPr>
          <w:p w:rsidR="008B6B0C" w:rsidRPr="00412D45" w:rsidRDefault="008B6B0C" w:rsidP="005A1BAC">
            <w:pPr>
              <w:jc w:val="center"/>
              <w:rPr>
                <w:rFonts w:eastAsia="Times New Roman"/>
                <w:b/>
                <w:bCs/>
                <w:color w:val="000000"/>
                <w:sz w:val="20"/>
                <w:szCs w:val="20"/>
              </w:rPr>
            </w:pPr>
            <w:r>
              <w:rPr>
                <w:rFonts w:eastAsia="Times New Roman"/>
                <w:b/>
                <w:bCs/>
                <w:color w:val="000000"/>
                <w:sz w:val="20"/>
                <w:szCs w:val="20"/>
              </w:rPr>
              <w:t>13</w:t>
            </w: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Family</w:t>
            </w:r>
            <w:r>
              <w:rPr>
                <w:rFonts w:eastAsia="Times New Roman"/>
                <w:b/>
                <w:bCs/>
                <w:color w:val="000000"/>
                <w:sz w:val="20"/>
                <w:szCs w:val="20"/>
              </w:rPr>
              <w:t xml:space="preserve"> (2)</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0.046</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Duality</w:t>
            </w:r>
            <w:r>
              <w:rPr>
                <w:rFonts w:eastAsia="Times New Roman"/>
                <w:b/>
                <w:bCs/>
                <w:color w:val="000000"/>
                <w:sz w:val="20"/>
                <w:szCs w:val="20"/>
              </w:rPr>
              <w:t xml:space="preserve"> (3)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0.101</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0.007</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FE4996">
            <w:pPr>
              <w:rPr>
                <w:rFonts w:eastAsia="Times New Roman"/>
                <w:b/>
                <w:bCs/>
                <w:color w:val="000000"/>
                <w:sz w:val="20"/>
                <w:szCs w:val="20"/>
              </w:rPr>
            </w:pPr>
            <w:proofErr w:type="spellStart"/>
            <w:r w:rsidRPr="00412D45">
              <w:rPr>
                <w:rFonts w:eastAsia="Times New Roman"/>
                <w:b/>
                <w:bCs/>
                <w:color w:val="000000"/>
                <w:sz w:val="20"/>
                <w:szCs w:val="20"/>
              </w:rPr>
              <w:t>Blockhold</w:t>
            </w:r>
            <w:r>
              <w:rPr>
                <w:rFonts w:eastAsia="Times New Roman"/>
                <w:b/>
                <w:bCs/>
                <w:color w:val="000000"/>
                <w:sz w:val="20"/>
                <w:szCs w:val="20"/>
              </w:rPr>
              <w:t>er</w:t>
            </w:r>
            <w:proofErr w:type="spellEnd"/>
            <w:r w:rsidRPr="00412D45">
              <w:rPr>
                <w:rFonts w:eastAsia="Times New Roman"/>
                <w:b/>
                <w:bCs/>
                <w:color w:val="000000"/>
                <w:sz w:val="20"/>
                <w:szCs w:val="20"/>
              </w:rPr>
              <w:t xml:space="preserve"> </w:t>
            </w:r>
            <w:r w:rsidR="00B62C79">
              <w:rPr>
                <w:rFonts w:eastAsia="Times New Roman"/>
                <w:b/>
                <w:bCs/>
                <w:color w:val="000000"/>
                <w:sz w:val="20"/>
                <w:szCs w:val="20"/>
              </w:rPr>
              <w:t>Pct</w:t>
            </w:r>
            <w:r>
              <w:rPr>
                <w:rFonts w:eastAsia="Times New Roman"/>
                <w:b/>
                <w:bCs/>
                <w:color w:val="000000"/>
                <w:sz w:val="20"/>
                <w:szCs w:val="20"/>
              </w:rPr>
              <w:t xml:space="preserve"> (4)</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-0.088</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-0.116</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-0.195</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Blackrock</w:t>
            </w:r>
            <w:r>
              <w:rPr>
                <w:rFonts w:eastAsia="Times New Roman"/>
                <w:b/>
                <w:bCs/>
                <w:color w:val="000000"/>
                <w:sz w:val="20"/>
                <w:szCs w:val="20"/>
              </w:rPr>
              <w:t xml:space="preserve"> (5)</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-0.027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-0.372</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-0.034</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0.078</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D&amp;O %</w:t>
            </w:r>
            <w:r>
              <w:rPr>
                <w:rFonts w:eastAsia="Times New Roman"/>
                <w:b/>
                <w:bCs/>
                <w:color w:val="000000"/>
                <w:sz w:val="20"/>
                <w:szCs w:val="20"/>
              </w:rPr>
              <w:t xml:space="preserve"> (6)</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0.014</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0.077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-0.101</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-0.025</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-0.128</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FD408F" w:rsidP="00FE4996">
            <w:pPr>
              <w:rPr>
                <w:rFonts w:eastAsia="Times New Roman"/>
                <w:b/>
                <w:bCs/>
                <w:color w:val="000000"/>
                <w:sz w:val="20"/>
                <w:szCs w:val="20"/>
              </w:rPr>
            </w:pPr>
            <w:r>
              <w:rPr>
                <w:rFonts w:eastAsia="Times New Roman"/>
                <w:b/>
                <w:bCs/>
                <w:color w:val="000000"/>
                <w:sz w:val="20"/>
                <w:szCs w:val="20"/>
              </w:rPr>
              <w:t>L</w:t>
            </w:r>
            <w:r w:rsidR="00B62C79">
              <w:rPr>
                <w:rFonts w:eastAsia="Times New Roman"/>
                <w:b/>
                <w:bCs/>
                <w:color w:val="000000"/>
                <w:sz w:val="20"/>
                <w:szCs w:val="20"/>
              </w:rPr>
              <w:t xml:space="preserve">og </w:t>
            </w:r>
            <w:r w:rsidR="008B6B0C" w:rsidRPr="00412D45">
              <w:rPr>
                <w:rFonts w:eastAsia="Times New Roman"/>
                <w:b/>
                <w:bCs/>
                <w:color w:val="000000"/>
                <w:sz w:val="20"/>
                <w:szCs w:val="20"/>
              </w:rPr>
              <w:t>Current Comp</w:t>
            </w:r>
            <w:r w:rsidR="008B6B0C">
              <w:rPr>
                <w:rFonts w:eastAsia="Times New Roman"/>
                <w:b/>
                <w:bCs/>
                <w:color w:val="000000"/>
                <w:sz w:val="20"/>
                <w:szCs w:val="20"/>
              </w:rPr>
              <w:t xml:space="preserve"> (7)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0.139</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-0.275</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0.196</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-0.168</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0.247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-0.249</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FE4996">
            <w:pPr>
              <w:rPr>
                <w:rFonts w:eastAsia="Times New Roman"/>
                <w:b/>
                <w:bCs/>
                <w:color w:val="000000"/>
                <w:sz w:val="20"/>
                <w:szCs w:val="20"/>
              </w:rPr>
            </w:pPr>
            <w:r w:rsidRPr="00412D45">
              <w:rPr>
                <w:rFonts w:eastAsia="Times New Roman"/>
                <w:b/>
                <w:bCs/>
                <w:color w:val="000000"/>
                <w:sz w:val="20"/>
                <w:szCs w:val="20"/>
              </w:rPr>
              <w:t xml:space="preserve">Fwd Comp </w:t>
            </w:r>
            <w:r w:rsidR="00B62C79">
              <w:rPr>
                <w:rFonts w:eastAsia="Times New Roman"/>
                <w:b/>
                <w:bCs/>
                <w:color w:val="000000"/>
                <w:sz w:val="20"/>
                <w:szCs w:val="20"/>
              </w:rPr>
              <w:t>Pct</w:t>
            </w:r>
            <w:r>
              <w:rPr>
                <w:rFonts w:eastAsia="Times New Roman"/>
                <w:b/>
                <w:bCs/>
                <w:color w:val="000000"/>
                <w:sz w:val="20"/>
                <w:szCs w:val="20"/>
              </w:rPr>
              <w:t xml:space="preserve"> (8)</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0.133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-0.367</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0.042</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0.060</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0.191</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-0.190</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0.193</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Leverage</w:t>
            </w:r>
            <w:r>
              <w:rPr>
                <w:rFonts w:eastAsia="Times New Roman"/>
                <w:b/>
                <w:bCs/>
                <w:color w:val="000000"/>
                <w:sz w:val="20"/>
                <w:szCs w:val="20"/>
              </w:rPr>
              <w:t xml:space="preserve"> (9)</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-0.107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-0.154</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0.136</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-0.205</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0.016</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-0.168</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0.331</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0.110</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Liquidity</w:t>
            </w:r>
            <w:r>
              <w:rPr>
                <w:rFonts w:eastAsia="Times New Roman"/>
                <w:b/>
                <w:bCs/>
                <w:color w:val="000000"/>
                <w:sz w:val="20"/>
                <w:szCs w:val="20"/>
              </w:rPr>
              <w:t xml:space="preserve"> (10)</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-0.014</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-0.135</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0.083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-0.065</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-0.011</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-0.025</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0.105</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0.117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0.252</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Extreme Liquidity</w:t>
            </w:r>
            <w:r>
              <w:rPr>
                <w:rFonts w:eastAsia="Times New Roman"/>
                <w:b/>
                <w:bCs/>
                <w:color w:val="000000"/>
                <w:sz w:val="20"/>
                <w:szCs w:val="20"/>
              </w:rPr>
              <w:t xml:space="preserve"> (11)</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-0.313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0.084</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-0.030</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-0.029</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-0.126</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0.116</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-0.255</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-0.139</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0.042</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-0.073</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tcPr>
          <w:p w:rsidR="008B6B0C" w:rsidRPr="00412D45" w:rsidRDefault="008B6B0C" w:rsidP="00A612AD">
            <w:pPr>
              <w:rPr>
                <w:rFonts w:eastAsia="Times New Roman"/>
                <w:b/>
                <w:bCs/>
                <w:color w:val="000000"/>
                <w:sz w:val="20"/>
                <w:szCs w:val="20"/>
              </w:rPr>
            </w:pPr>
            <w:r>
              <w:rPr>
                <w:rFonts w:eastAsia="Times New Roman"/>
                <w:b/>
                <w:bCs/>
                <w:color w:val="000000"/>
                <w:sz w:val="20"/>
                <w:szCs w:val="20"/>
              </w:rPr>
              <w:t>Risk (12)</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-0.104</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0.046</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-0.048</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-0.011</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-0.041</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0.023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-0.087</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-0.032</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0.027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-0.183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0.331</w:t>
            </w:r>
          </w:p>
        </w:tc>
        <w:tc>
          <w:tcPr>
            <w:tcW w:w="864" w:type="dxa"/>
            <w:noWrap/>
            <w:vAlign w:val="center"/>
            <w:hideMark/>
          </w:tcPr>
          <w:p w:rsidR="008B6B0C" w:rsidRPr="00B46837" w:rsidRDefault="008B6B0C" w:rsidP="00A612AD">
            <w:pPr>
              <w:jc w:val="right"/>
              <w:rPr>
                <w:color w:val="000000"/>
                <w:sz w:val="20"/>
                <w:szCs w:val="20"/>
              </w:rPr>
            </w:pP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sidRPr="00412D45">
              <w:rPr>
                <w:rFonts w:eastAsia="Times New Roman"/>
                <w:b/>
                <w:bCs/>
                <w:color w:val="000000"/>
                <w:sz w:val="20"/>
                <w:szCs w:val="20"/>
              </w:rPr>
              <w:t>Size</w:t>
            </w:r>
            <w:r>
              <w:rPr>
                <w:rFonts w:eastAsia="Times New Roman"/>
                <w:b/>
                <w:bCs/>
                <w:color w:val="000000"/>
                <w:sz w:val="20"/>
                <w:szCs w:val="20"/>
              </w:rPr>
              <w:t xml:space="preserve"> (13)</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-0.042</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-0.360</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0.212</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-0.203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0.213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-0.320</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0.632</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0.353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0.512</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0.171</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-0.190</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-0.082</w:t>
            </w:r>
          </w:p>
        </w:tc>
        <w:tc>
          <w:tcPr>
            <w:tcW w:w="864" w:type="dxa"/>
            <w:noWrap/>
            <w:vAlign w:val="center"/>
            <w:hideMark/>
          </w:tcPr>
          <w:p w:rsidR="008B6B0C" w:rsidRPr="00B46837" w:rsidRDefault="008B6B0C" w:rsidP="00A612AD">
            <w:pPr>
              <w:jc w:val="right"/>
              <w:rPr>
                <w:color w:val="000000"/>
                <w:sz w:val="20"/>
                <w:szCs w:val="20"/>
              </w:rPr>
            </w:pPr>
          </w:p>
        </w:tc>
      </w:tr>
      <w:tr w:rsidR="008B6B0C" w:rsidRPr="00412D45" w:rsidTr="00A612AD">
        <w:trPr>
          <w:trHeight w:val="300"/>
        </w:trPr>
        <w:tc>
          <w:tcPr>
            <w:tcW w:w="2283" w:type="dxa"/>
            <w:noWrap/>
            <w:vAlign w:val="center"/>
            <w:hideMark/>
          </w:tcPr>
          <w:p w:rsidR="008B6B0C" w:rsidRPr="00412D45" w:rsidRDefault="008B6B0C" w:rsidP="00A612AD">
            <w:pPr>
              <w:rPr>
                <w:rFonts w:eastAsia="Times New Roman"/>
                <w:b/>
                <w:bCs/>
                <w:color w:val="000000"/>
                <w:sz w:val="20"/>
                <w:szCs w:val="20"/>
              </w:rPr>
            </w:pPr>
            <w:r>
              <w:rPr>
                <w:rFonts w:eastAsia="Times New Roman"/>
                <w:b/>
                <w:bCs/>
                <w:color w:val="000000"/>
                <w:sz w:val="20"/>
                <w:szCs w:val="20"/>
              </w:rPr>
              <w:t>Focus</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0.163</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0.013</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0.089</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-0.063</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-0.054</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0.127</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-0.236</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-0.043</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-0.018</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0.146</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0.060</w:t>
            </w:r>
          </w:p>
        </w:tc>
        <w:tc>
          <w:tcPr>
            <w:tcW w:w="864" w:type="dxa"/>
            <w:noWrap/>
            <w:vAlign w:val="center"/>
            <w:hideMark/>
          </w:tcPr>
          <w:p w:rsidR="008B6B0C" w:rsidRPr="00B46837" w:rsidRDefault="008B6B0C" w:rsidP="00A612AD">
            <w:pPr>
              <w:jc w:val="right"/>
              <w:rPr>
                <w:color w:val="000000"/>
                <w:sz w:val="20"/>
                <w:szCs w:val="20"/>
              </w:rPr>
            </w:pPr>
            <w:r w:rsidRPr="00B46837">
              <w:rPr>
                <w:color w:val="000000"/>
                <w:sz w:val="20"/>
                <w:szCs w:val="20"/>
              </w:rPr>
              <w:t>0.014</w:t>
            </w:r>
          </w:p>
        </w:tc>
        <w:tc>
          <w:tcPr>
            <w:tcW w:w="864" w:type="dxa"/>
            <w:noWrap/>
            <w:vAlign w:val="center"/>
            <w:hideMark/>
          </w:tcPr>
          <w:p w:rsidR="008B6B0C" w:rsidRPr="00B46837" w:rsidRDefault="008B6B0C" w:rsidP="00A612AD">
            <w:pPr>
              <w:jc w:val="right"/>
              <w:rPr>
                <w:b/>
                <w:bCs/>
                <w:color w:val="000000"/>
                <w:sz w:val="20"/>
                <w:szCs w:val="20"/>
              </w:rPr>
            </w:pPr>
            <w:r w:rsidRPr="00B46837">
              <w:rPr>
                <w:b/>
                <w:bCs/>
                <w:color w:val="000000"/>
                <w:sz w:val="20"/>
                <w:szCs w:val="20"/>
              </w:rPr>
              <w:t>-0.262</w:t>
            </w:r>
          </w:p>
        </w:tc>
      </w:tr>
    </w:tbl>
    <w:p w:rsidR="008B6B0C" w:rsidRPr="0035131B" w:rsidRDefault="008B6B0C" w:rsidP="008B6B0C">
      <w:pPr>
        <w:rPr>
          <w:sz w:val="20"/>
        </w:rPr>
      </w:pPr>
      <w:r w:rsidRPr="0035131B">
        <w:rPr>
          <w:b/>
          <w:sz w:val="20"/>
        </w:rPr>
        <w:t>Bold</w:t>
      </w:r>
      <w:r w:rsidRPr="0035131B">
        <w:rPr>
          <w:sz w:val="20"/>
        </w:rPr>
        <w:t xml:space="preserve"> implies statistical significance at the 10% level.</w:t>
      </w:r>
    </w:p>
    <w:p w:rsidR="008B6B0C" w:rsidRDefault="008B6B0C" w:rsidP="008B6B0C"/>
    <w:p w:rsidR="008B6B0C" w:rsidRDefault="008B6B0C" w:rsidP="008B6B0C">
      <w:r>
        <w:br w:type="page"/>
      </w:r>
    </w:p>
    <w:p w:rsidR="008B6B0C" w:rsidRDefault="008B6B0C" w:rsidP="008B6B0C">
      <w:pPr>
        <w:rPr>
          <w:b/>
        </w:rPr>
        <w:sectPr w:rsidR="008B6B0C" w:rsidSect="00A612AD">
          <w:pgSz w:w="15840" w:h="12240" w:orient="landscape" w:code="1"/>
          <w:pgMar w:top="1440" w:right="1440" w:bottom="1440" w:left="1440" w:header="720" w:footer="720" w:gutter="0"/>
          <w:cols w:space="720"/>
          <w:docGrid w:linePitch="360"/>
        </w:sectPr>
      </w:pPr>
    </w:p>
    <w:p w:rsidR="008B6B0C" w:rsidRPr="00980732" w:rsidRDefault="008B6B0C" w:rsidP="008B6B0C">
      <w:pPr>
        <w:rPr>
          <w:b/>
          <w:sz w:val="22"/>
        </w:rPr>
      </w:pPr>
      <w:r w:rsidRPr="00980732">
        <w:rPr>
          <w:b/>
          <w:sz w:val="22"/>
        </w:rPr>
        <w:lastRenderedPageBreak/>
        <w:t>Table 4</w:t>
      </w:r>
    </w:p>
    <w:p w:rsidR="00806A62" w:rsidRPr="00980732" w:rsidRDefault="00806A62" w:rsidP="00806A62">
      <w:pPr>
        <w:rPr>
          <w:sz w:val="22"/>
        </w:rPr>
      </w:pPr>
      <w:r w:rsidRPr="00980732">
        <w:rPr>
          <w:sz w:val="22"/>
        </w:rPr>
        <w:t xml:space="preserve">Empirical Results (Dependent Variable = </w:t>
      </w:r>
      <w:r>
        <w:rPr>
          <w:sz w:val="22"/>
        </w:rPr>
        <w:t xml:space="preserve">Natural log of </w:t>
      </w:r>
      <w:r w:rsidRPr="00980732">
        <w:rPr>
          <w:sz w:val="22"/>
        </w:rPr>
        <w:t>Tobin’s q</w:t>
      </w:r>
      <w:r>
        <w:rPr>
          <w:sz w:val="22"/>
        </w:rPr>
        <w:t>)</w:t>
      </w:r>
    </w:p>
    <w:tbl>
      <w:tblPr>
        <w:tblW w:w="8637" w:type="dxa"/>
        <w:tblInd w:w="93" w:type="dxa"/>
        <w:tblLook w:val="04A0"/>
      </w:tblPr>
      <w:tblGrid>
        <w:gridCol w:w="1839"/>
        <w:gridCol w:w="1133"/>
        <w:gridCol w:w="1133"/>
        <w:gridCol w:w="1133"/>
        <w:gridCol w:w="1133"/>
        <w:gridCol w:w="1133"/>
        <w:gridCol w:w="1133"/>
      </w:tblGrid>
      <w:tr w:rsidR="008B6B0C" w:rsidRPr="00AF366D" w:rsidTr="001C5112">
        <w:trPr>
          <w:trHeight w:val="255"/>
        </w:trPr>
        <w:tc>
          <w:tcPr>
            <w:tcW w:w="1839" w:type="dxa"/>
            <w:tcBorders>
              <w:top w:val="single" w:sz="4" w:space="0" w:color="auto"/>
              <w:left w:val="nil"/>
              <w:bottom w:val="single" w:sz="4" w:space="0" w:color="000000"/>
              <w:right w:val="nil"/>
            </w:tcBorders>
            <w:shd w:val="clear" w:color="auto" w:fill="auto"/>
            <w:noWrap/>
            <w:vAlign w:val="bottom"/>
            <w:hideMark/>
          </w:tcPr>
          <w:p w:rsidR="008B6B0C" w:rsidRPr="00AF366D" w:rsidRDefault="008B6B0C" w:rsidP="00A612AD">
            <w:pPr>
              <w:rPr>
                <w:rFonts w:eastAsia="Times New Roman"/>
                <w:b/>
                <w:sz w:val="20"/>
                <w:szCs w:val="20"/>
              </w:rPr>
            </w:pPr>
            <w:r w:rsidRPr="00AF366D">
              <w:rPr>
                <w:rFonts w:eastAsia="Times New Roman"/>
                <w:b/>
                <w:sz w:val="20"/>
                <w:szCs w:val="20"/>
              </w:rPr>
              <w:t>VARIABLES</w:t>
            </w:r>
          </w:p>
        </w:tc>
        <w:tc>
          <w:tcPr>
            <w:tcW w:w="1133" w:type="dxa"/>
            <w:tcBorders>
              <w:top w:val="single" w:sz="4" w:space="0" w:color="auto"/>
              <w:left w:val="nil"/>
              <w:bottom w:val="single" w:sz="4" w:space="0" w:color="000000"/>
              <w:right w:val="nil"/>
            </w:tcBorders>
            <w:shd w:val="clear" w:color="auto" w:fill="auto"/>
            <w:noWrap/>
            <w:vAlign w:val="bottom"/>
            <w:hideMark/>
          </w:tcPr>
          <w:p w:rsidR="008B6B0C" w:rsidRPr="00AF366D" w:rsidRDefault="008B6B0C" w:rsidP="00A612AD">
            <w:pPr>
              <w:jc w:val="center"/>
              <w:rPr>
                <w:rFonts w:eastAsia="Times New Roman"/>
                <w:b/>
                <w:sz w:val="20"/>
                <w:szCs w:val="20"/>
              </w:rPr>
            </w:pPr>
            <w:r w:rsidRPr="00AF366D">
              <w:rPr>
                <w:rFonts w:eastAsia="Times New Roman"/>
                <w:b/>
                <w:sz w:val="20"/>
                <w:szCs w:val="20"/>
              </w:rPr>
              <w:t>Model 1</w:t>
            </w:r>
          </w:p>
        </w:tc>
        <w:tc>
          <w:tcPr>
            <w:tcW w:w="1133" w:type="dxa"/>
            <w:tcBorders>
              <w:top w:val="single" w:sz="4" w:space="0" w:color="auto"/>
              <w:left w:val="nil"/>
              <w:bottom w:val="single" w:sz="4" w:space="0" w:color="000000"/>
              <w:right w:val="nil"/>
            </w:tcBorders>
            <w:shd w:val="clear" w:color="auto" w:fill="auto"/>
            <w:noWrap/>
            <w:vAlign w:val="bottom"/>
            <w:hideMark/>
          </w:tcPr>
          <w:p w:rsidR="008B6B0C" w:rsidRPr="00AF366D" w:rsidRDefault="008B6B0C" w:rsidP="00A612AD">
            <w:pPr>
              <w:jc w:val="center"/>
              <w:rPr>
                <w:rFonts w:eastAsia="Times New Roman"/>
                <w:b/>
                <w:sz w:val="20"/>
                <w:szCs w:val="20"/>
              </w:rPr>
            </w:pPr>
            <w:r w:rsidRPr="00AF366D">
              <w:rPr>
                <w:rFonts w:eastAsia="Times New Roman"/>
                <w:b/>
                <w:sz w:val="20"/>
                <w:szCs w:val="20"/>
              </w:rPr>
              <w:t>Model 2</w:t>
            </w:r>
          </w:p>
        </w:tc>
        <w:tc>
          <w:tcPr>
            <w:tcW w:w="1133" w:type="dxa"/>
            <w:tcBorders>
              <w:top w:val="single" w:sz="4" w:space="0" w:color="auto"/>
              <w:left w:val="nil"/>
              <w:bottom w:val="single" w:sz="4" w:space="0" w:color="000000"/>
              <w:right w:val="nil"/>
            </w:tcBorders>
            <w:shd w:val="clear" w:color="auto" w:fill="auto"/>
            <w:noWrap/>
            <w:vAlign w:val="bottom"/>
            <w:hideMark/>
          </w:tcPr>
          <w:p w:rsidR="008B6B0C" w:rsidRPr="00AF366D" w:rsidRDefault="008B6B0C" w:rsidP="00A612AD">
            <w:pPr>
              <w:jc w:val="center"/>
              <w:rPr>
                <w:rFonts w:eastAsia="Times New Roman"/>
                <w:b/>
                <w:sz w:val="20"/>
                <w:szCs w:val="20"/>
              </w:rPr>
            </w:pPr>
            <w:r w:rsidRPr="00AF366D">
              <w:rPr>
                <w:rFonts w:eastAsia="Times New Roman"/>
                <w:b/>
                <w:sz w:val="20"/>
                <w:szCs w:val="20"/>
              </w:rPr>
              <w:t>Model 3</w:t>
            </w:r>
          </w:p>
        </w:tc>
        <w:tc>
          <w:tcPr>
            <w:tcW w:w="1133" w:type="dxa"/>
            <w:tcBorders>
              <w:top w:val="single" w:sz="4" w:space="0" w:color="auto"/>
              <w:left w:val="nil"/>
              <w:bottom w:val="single" w:sz="4" w:space="0" w:color="000000"/>
              <w:right w:val="nil"/>
            </w:tcBorders>
            <w:shd w:val="clear" w:color="auto" w:fill="auto"/>
            <w:noWrap/>
            <w:vAlign w:val="bottom"/>
            <w:hideMark/>
          </w:tcPr>
          <w:p w:rsidR="008B6B0C" w:rsidRPr="00AF366D" w:rsidRDefault="008B6B0C" w:rsidP="00A612AD">
            <w:pPr>
              <w:jc w:val="center"/>
              <w:rPr>
                <w:rFonts w:eastAsia="Times New Roman"/>
                <w:b/>
                <w:sz w:val="20"/>
                <w:szCs w:val="20"/>
              </w:rPr>
            </w:pPr>
            <w:r w:rsidRPr="00AF366D">
              <w:rPr>
                <w:rFonts w:eastAsia="Times New Roman"/>
                <w:b/>
                <w:sz w:val="20"/>
                <w:szCs w:val="20"/>
              </w:rPr>
              <w:t>Model 4</w:t>
            </w:r>
          </w:p>
        </w:tc>
        <w:tc>
          <w:tcPr>
            <w:tcW w:w="1133" w:type="dxa"/>
            <w:tcBorders>
              <w:top w:val="single" w:sz="4" w:space="0" w:color="auto"/>
              <w:left w:val="nil"/>
              <w:bottom w:val="single" w:sz="4" w:space="0" w:color="000000"/>
              <w:right w:val="nil"/>
            </w:tcBorders>
            <w:shd w:val="clear" w:color="auto" w:fill="auto"/>
            <w:noWrap/>
            <w:vAlign w:val="bottom"/>
            <w:hideMark/>
          </w:tcPr>
          <w:p w:rsidR="008B6B0C" w:rsidRPr="00AF366D" w:rsidRDefault="008B6B0C" w:rsidP="00A612AD">
            <w:pPr>
              <w:jc w:val="center"/>
              <w:rPr>
                <w:rFonts w:eastAsia="Times New Roman"/>
                <w:b/>
                <w:sz w:val="20"/>
                <w:szCs w:val="20"/>
              </w:rPr>
            </w:pPr>
            <w:r w:rsidRPr="00AF366D">
              <w:rPr>
                <w:rFonts w:eastAsia="Times New Roman"/>
                <w:b/>
                <w:sz w:val="20"/>
                <w:szCs w:val="20"/>
              </w:rPr>
              <w:t>Model 5</w:t>
            </w:r>
          </w:p>
        </w:tc>
        <w:tc>
          <w:tcPr>
            <w:tcW w:w="1133" w:type="dxa"/>
            <w:tcBorders>
              <w:top w:val="single" w:sz="4" w:space="0" w:color="auto"/>
              <w:left w:val="nil"/>
              <w:bottom w:val="single" w:sz="4" w:space="0" w:color="000000"/>
              <w:right w:val="nil"/>
            </w:tcBorders>
            <w:shd w:val="clear" w:color="auto" w:fill="auto"/>
            <w:noWrap/>
            <w:vAlign w:val="bottom"/>
            <w:hideMark/>
          </w:tcPr>
          <w:p w:rsidR="008B6B0C" w:rsidRPr="00AF366D" w:rsidRDefault="008B6B0C" w:rsidP="00A612AD">
            <w:pPr>
              <w:jc w:val="center"/>
              <w:rPr>
                <w:rFonts w:eastAsia="Times New Roman"/>
                <w:b/>
                <w:sz w:val="20"/>
                <w:szCs w:val="20"/>
              </w:rPr>
            </w:pPr>
            <w:r w:rsidRPr="00AF366D">
              <w:rPr>
                <w:rFonts w:eastAsia="Times New Roman"/>
                <w:b/>
                <w:sz w:val="20"/>
                <w:szCs w:val="20"/>
              </w:rPr>
              <w:t>Model 6</w:t>
            </w:r>
          </w:p>
        </w:tc>
      </w:tr>
      <w:tr w:rsidR="008B6B0C" w:rsidRPr="00980732" w:rsidTr="001C5112">
        <w:trPr>
          <w:trHeight w:val="255"/>
        </w:trPr>
        <w:tc>
          <w:tcPr>
            <w:tcW w:w="1839" w:type="dxa"/>
            <w:tcBorders>
              <w:top w:val="single" w:sz="4" w:space="0" w:color="000000"/>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 </w:t>
            </w:r>
          </w:p>
          <w:p w:rsidR="008B6B0C" w:rsidRPr="00B46837" w:rsidRDefault="008B6B0C" w:rsidP="00A612AD">
            <w:pPr>
              <w:rPr>
                <w:rFonts w:eastAsia="Times New Roman"/>
                <w:i/>
                <w:sz w:val="20"/>
                <w:szCs w:val="20"/>
              </w:rPr>
            </w:pPr>
            <w:r w:rsidRPr="00B46837">
              <w:rPr>
                <w:rFonts w:eastAsia="Times New Roman"/>
                <w:i/>
                <w:sz w:val="20"/>
                <w:szCs w:val="20"/>
              </w:rPr>
              <w:t>Governance</w:t>
            </w:r>
          </w:p>
        </w:tc>
        <w:tc>
          <w:tcPr>
            <w:tcW w:w="1133" w:type="dxa"/>
            <w:tcBorders>
              <w:top w:val="single" w:sz="4" w:space="0" w:color="000000"/>
              <w:left w:val="nil"/>
              <w:bottom w:val="nil"/>
              <w:right w:val="nil"/>
            </w:tcBorders>
            <w:shd w:val="clear" w:color="auto" w:fill="auto"/>
            <w:noWrap/>
            <w:vAlign w:val="bottom"/>
            <w:hideMark/>
          </w:tcPr>
          <w:p w:rsidR="008B6B0C" w:rsidRPr="00B46837" w:rsidRDefault="008B6B0C" w:rsidP="00A612AD">
            <w:pPr>
              <w:jc w:val="center"/>
              <w:rPr>
                <w:rFonts w:eastAsia="Times New Roman"/>
                <w:sz w:val="20"/>
                <w:szCs w:val="20"/>
              </w:rPr>
            </w:pPr>
            <w:r w:rsidRPr="00B46837">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bottom"/>
            <w:hideMark/>
          </w:tcPr>
          <w:p w:rsidR="008B6B0C" w:rsidRPr="00B46837" w:rsidRDefault="008B6B0C" w:rsidP="00A612AD">
            <w:pPr>
              <w:jc w:val="center"/>
              <w:rPr>
                <w:rFonts w:eastAsia="Times New Roman"/>
                <w:sz w:val="20"/>
                <w:szCs w:val="20"/>
              </w:rPr>
            </w:pPr>
            <w:r w:rsidRPr="00B46837">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bottom"/>
            <w:hideMark/>
          </w:tcPr>
          <w:p w:rsidR="008B6B0C" w:rsidRPr="00B46837" w:rsidRDefault="008B6B0C" w:rsidP="00A612AD">
            <w:pPr>
              <w:jc w:val="center"/>
              <w:rPr>
                <w:rFonts w:eastAsia="Times New Roman"/>
                <w:sz w:val="20"/>
                <w:szCs w:val="20"/>
              </w:rPr>
            </w:pPr>
            <w:r w:rsidRPr="00B46837">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bottom"/>
            <w:hideMark/>
          </w:tcPr>
          <w:p w:rsidR="008B6B0C" w:rsidRPr="00B46837" w:rsidRDefault="008B6B0C" w:rsidP="00A612AD">
            <w:pPr>
              <w:jc w:val="center"/>
              <w:rPr>
                <w:rFonts w:eastAsia="Times New Roman"/>
                <w:sz w:val="20"/>
                <w:szCs w:val="20"/>
              </w:rPr>
            </w:pPr>
            <w:r w:rsidRPr="00B46837">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bottom"/>
            <w:hideMark/>
          </w:tcPr>
          <w:p w:rsidR="008B6B0C" w:rsidRPr="00B46837" w:rsidRDefault="008B6B0C" w:rsidP="00A612AD">
            <w:pPr>
              <w:jc w:val="center"/>
              <w:rPr>
                <w:rFonts w:eastAsia="Times New Roman"/>
                <w:sz w:val="20"/>
                <w:szCs w:val="20"/>
              </w:rPr>
            </w:pPr>
            <w:r w:rsidRPr="00B46837">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bottom"/>
            <w:hideMark/>
          </w:tcPr>
          <w:p w:rsidR="008B6B0C" w:rsidRPr="00B46837" w:rsidRDefault="008B6B0C" w:rsidP="00A612AD">
            <w:pPr>
              <w:jc w:val="center"/>
              <w:rPr>
                <w:rFonts w:eastAsia="Times New Roman"/>
                <w:sz w:val="20"/>
                <w:szCs w:val="20"/>
              </w:rPr>
            </w:pPr>
            <w:r w:rsidRPr="00B46837">
              <w:rPr>
                <w:rFonts w:eastAsia="Times New Roman"/>
                <w:sz w:val="20"/>
                <w:szCs w:val="20"/>
              </w:rPr>
              <w:t> </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Family</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0.227***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0.212***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0.201***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0.175***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(5.265)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(4.843)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(4.296)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(3.640)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Duality</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0.122***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0.135***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0.118***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0.130***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0.164***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0.179***</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(3.506)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(3.834)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(3.391)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(3.686)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(4.853)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(5.269)</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Family*Dual</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-0.196***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-0.189***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-0.202***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-0.186***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(-3.284)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(-3.167)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(-3.081)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(-2.842)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roofErr w:type="spellStart"/>
            <w:r w:rsidRPr="00B46837">
              <w:rPr>
                <w:rFonts w:eastAsia="Times New Roman"/>
                <w:color w:val="000000"/>
                <w:sz w:val="20"/>
                <w:szCs w:val="20"/>
              </w:rPr>
              <w:t>Blockholder</w:t>
            </w:r>
            <w:proofErr w:type="spellEnd"/>
            <w:r w:rsidRPr="00B46837">
              <w:rPr>
                <w:rFonts w:eastAsia="Times New Roman"/>
                <w:color w:val="000000"/>
                <w:sz w:val="20"/>
                <w:szCs w:val="20"/>
              </w:rPr>
              <w:t xml:space="preserve"> Pct</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-0.312***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-0.352***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-0.449***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-0.518***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-0.530***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-0.736***</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(-3.926)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(-4.346)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(-4.328)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(-4.908)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(-4.646)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(-5.731)</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color w:val="000000"/>
                <w:sz w:val="20"/>
                <w:szCs w:val="20"/>
              </w:rPr>
              <w:t>Blackrock</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0.097***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0.124***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0.109***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0.138***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0.090*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0.143***</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(2.588)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(3.216)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(2.725)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(3.400)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(1.827)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(2.790)</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D&amp;O Pct</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0.204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0.146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0.259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0.219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0.510**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0.526**</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(0.830)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(0.687)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(1.037)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(1.003)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(2.393)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(2.179)</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B62C79" w:rsidP="00A612AD">
            <w:pPr>
              <w:rPr>
                <w:rFonts w:eastAsia="Times New Roman"/>
                <w:sz w:val="20"/>
                <w:szCs w:val="20"/>
              </w:rPr>
            </w:pPr>
            <w:r>
              <w:rPr>
                <w:rFonts w:eastAsia="Times New Roman"/>
                <w:sz w:val="20"/>
                <w:szCs w:val="20"/>
              </w:rPr>
              <w:t xml:space="preserve">Log </w:t>
            </w:r>
            <w:r w:rsidR="008B6B0C" w:rsidRPr="00B46837">
              <w:rPr>
                <w:rFonts w:eastAsia="Times New Roman"/>
                <w:sz w:val="20"/>
                <w:szCs w:val="20"/>
              </w:rPr>
              <w:t>Current Comp</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0.098***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0.096***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0.187***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(4.497)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(4.341)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(6.796)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Fwd Comp Pct</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0.330***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0.305***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0.319***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0.301***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0.265***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0.113</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(4.882)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(4.439)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(4.551)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(4.219)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(3.308)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(1.230)</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Leverage</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-0.417***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-0.384***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-0.444***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-0.411***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0.433**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-0.020</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(-2.791)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(-2.833)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(-2.933)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(-2.981)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(2.107)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(-0.106)</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p w:rsidR="008B6B0C" w:rsidRPr="00B46837" w:rsidRDefault="008B6B0C" w:rsidP="00A612AD">
            <w:pPr>
              <w:rPr>
                <w:rFonts w:eastAsia="Times New Roman"/>
                <w:i/>
                <w:sz w:val="20"/>
                <w:szCs w:val="20"/>
              </w:rPr>
            </w:pPr>
            <w:r w:rsidRPr="00B46837">
              <w:rPr>
                <w:rFonts w:eastAsia="Times New Roman"/>
                <w:i/>
                <w:sz w:val="20"/>
                <w:szCs w:val="20"/>
              </w:rPr>
              <w:t>Controls</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rFonts w:eastAsia="Times New Roman"/>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Liquidity</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-0.023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-0.123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(-0.181)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(-0.048)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(-0.809)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Extreme Liquid</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-0.348***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-0.390***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-0.342***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-0.383***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-0.299***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-0.364***</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(-4.917)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(-5.424)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(-4.796)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(-5.259)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(-2.957)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(-3.638)</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Risk</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0.002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-0.005</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(0.322)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(0.364)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(0.433)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(0.414)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(-0.779)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(-0.716)</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Size</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-0.038***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-0.015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-0.038***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-0.016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-0.154***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-0.085***</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(-2.679)</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(-1.371)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(-2.585)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(-1.383)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(-7.620)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(-5.046)</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Focus</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0.211***</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0.184***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0.217***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0.193***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0.002</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-0.077</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(4.860)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(4.415)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(4.964)</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(4.570)</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(0.046)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(-1.540)</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Constant</w:t>
            </w: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0.133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0.678***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0.196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0.745***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-0.003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1.281***</w:t>
            </w:r>
          </w:p>
        </w:tc>
      </w:tr>
      <w:tr w:rsidR="008B6B0C" w:rsidRPr="00980732" w:rsidTr="00EB01D8">
        <w:trPr>
          <w:trHeight w:val="255"/>
        </w:trPr>
        <w:tc>
          <w:tcPr>
            <w:tcW w:w="1839" w:type="dxa"/>
            <w:tcBorders>
              <w:top w:val="nil"/>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(0.748)</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(4.856)</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(1.027)</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(4.865)</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(-0.013)</w:t>
            </w:r>
          </w:p>
        </w:tc>
        <w:tc>
          <w:tcPr>
            <w:tcW w:w="1133" w:type="dxa"/>
            <w:tcBorders>
              <w:top w:val="nil"/>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(7.730)</w:t>
            </w:r>
          </w:p>
        </w:tc>
      </w:tr>
      <w:tr w:rsidR="008B6B0C" w:rsidRPr="00980732" w:rsidTr="00EB01D8">
        <w:trPr>
          <w:trHeight w:val="255"/>
        </w:trPr>
        <w:tc>
          <w:tcPr>
            <w:tcW w:w="1839" w:type="dxa"/>
            <w:tcBorders>
              <w:top w:val="nil"/>
              <w:left w:val="nil"/>
              <w:bottom w:val="single" w:sz="4" w:space="0" w:color="auto"/>
              <w:right w:val="nil"/>
            </w:tcBorders>
            <w:shd w:val="clear" w:color="auto" w:fill="auto"/>
            <w:noWrap/>
            <w:vAlign w:val="center"/>
            <w:hideMark/>
          </w:tcPr>
          <w:p w:rsidR="008B6B0C" w:rsidRPr="00B46837" w:rsidRDefault="008B6B0C" w:rsidP="00A612AD">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B46837" w:rsidRDefault="008B6B0C" w:rsidP="00B851ED">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B46837"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B46837" w:rsidRDefault="008B6B0C">
            <w:pPr>
              <w:rPr>
                <w:rFonts w:eastAsia="Times New Roman"/>
                <w:sz w:val="20"/>
                <w:szCs w:val="20"/>
              </w:rPr>
            </w:pPr>
          </w:p>
        </w:tc>
      </w:tr>
      <w:tr w:rsidR="008B6B0C" w:rsidRPr="00347473" w:rsidTr="00EB01D8">
        <w:trPr>
          <w:trHeight w:val="255"/>
        </w:trPr>
        <w:tc>
          <w:tcPr>
            <w:tcW w:w="1839" w:type="dxa"/>
            <w:tcBorders>
              <w:top w:val="single" w:sz="4" w:space="0" w:color="auto"/>
              <w:left w:val="nil"/>
              <w:bottom w:val="nil"/>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Observations</w:t>
            </w:r>
          </w:p>
        </w:tc>
        <w:tc>
          <w:tcPr>
            <w:tcW w:w="1133" w:type="dxa"/>
            <w:tcBorders>
              <w:top w:val="single" w:sz="4" w:space="0" w:color="auto"/>
              <w:left w:val="nil"/>
              <w:bottom w:val="nil"/>
              <w:right w:val="nil"/>
            </w:tcBorders>
            <w:shd w:val="clear" w:color="auto" w:fill="auto"/>
            <w:noWrap/>
            <w:vAlign w:val="center"/>
            <w:hideMark/>
          </w:tcPr>
          <w:p w:rsidR="008B6B0C" w:rsidRPr="00B46837" w:rsidRDefault="008B6B0C" w:rsidP="00B851ED">
            <w:pPr>
              <w:rPr>
                <w:sz w:val="20"/>
                <w:szCs w:val="20"/>
              </w:rPr>
            </w:pPr>
            <w:r w:rsidRPr="00B46837">
              <w:rPr>
                <w:sz w:val="20"/>
                <w:szCs w:val="20"/>
              </w:rPr>
              <w:t>702</w:t>
            </w:r>
          </w:p>
        </w:tc>
        <w:tc>
          <w:tcPr>
            <w:tcW w:w="1133" w:type="dxa"/>
            <w:tcBorders>
              <w:top w:val="single" w:sz="4" w:space="0" w:color="auto"/>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702</w:t>
            </w:r>
          </w:p>
        </w:tc>
        <w:tc>
          <w:tcPr>
            <w:tcW w:w="1133" w:type="dxa"/>
            <w:tcBorders>
              <w:top w:val="single" w:sz="4" w:space="0" w:color="auto"/>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663</w:t>
            </w:r>
          </w:p>
        </w:tc>
        <w:tc>
          <w:tcPr>
            <w:tcW w:w="1133" w:type="dxa"/>
            <w:tcBorders>
              <w:top w:val="single" w:sz="4" w:space="0" w:color="auto"/>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663</w:t>
            </w:r>
          </w:p>
        </w:tc>
        <w:tc>
          <w:tcPr>
            <w:tcW w:w="1133" w:type="dxa"/>
            <w:tcBorders>
              <w:top w:val="single" w:sz="4" w:space="0" w:color="auto"/>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438</w:t>
            </w:r>
          </w:p>
        </w:tc>
        <w:tc>
          <w:tcPr>
            <w:tcW w:w="1133" w:type="dxa"/>
            <w:tcBorders>
              <w:top w:val="single" w:sz="4" w:space="0" w:color="auto"/>
              <w:left w:val="nil"/>
              <w:bottom w:val="nil"/>
              <w:right w:val="nil"/>
            </w:tcBorders>
            <w:shd w:val="clear" w:color="auto" w:fill="auto"/>
            <w:noWrap/>
            <w:vAlign w:val="center"/>
            <w:hideMark/>
          </w:tcPr>
          <w:p w:rsidR="008B6B0C" w:rsidRPr="00B46837" w:rsidRDefault="008B6B0C">
            <w:pPr>
              <w:rPr>
                <w:sz w:val="20"/>
                <w:szCs w:val="20"/>
              </w:rPr>
            </w:pPr>
            <w:r w:rsidRPr="00B46837">
              <w:rPr>
                <w:sz w:val="20"/>
                <w:szCs w:val="20"/>
              </w:rPr>
              <w:t>438</w:t>
            </w:r>
          </w:p>
        </w:tc>
      </w:tr>
      <w:tr w:rsidR="008B6B0C" w:rsidRPr="00347473" w:rsidTr="00EB01D8">
        <w:trPr>
          <w:trHeight w:val="255"/>
        </w:trPr>
        <w:tc>
          <w:tcPr>
            <w:tcW w:w="1839" w:type="dxa"/>
            <w:tcBorders>
              <w:top w:val="nil"/>
              <w:left w:val="nil"/>
              <w:bottom w:val="single" w:sz="4" w:space="0" w:color="000000"/>
              <w:right w:val="nil"/>
            </w:tcBorders>
            <w:shd w:val="clear" w:color="auto" w:fill="auto"/>
            <w:noWrap/>
            <w:vAlign w:val="center"/>
            <w:hideMark/>
          </w:tcPr>
          <w:p w:rsidR="008B6B0C" w:rsidRPr="00B46837" w:rsidRDefault="008B6B0C" w:rsidP="00A612AD">
            <w:pPr>
              <w:rPr>
                <w:rFonts w:eastAsia="Times New Roman"/>
                <w:sz w:val="20"/>
                <w:szCs w:val="20"/>
              </w:rPr>
            </w:pPr>
            <w:r w:rsidRPr="00B46837">
              <w:rPr>
                <w:rFonts w:eastAsia="Times New Roman"/>
                <w:sz w:val="20"/>
                <w:szCs w:val="20"/>
              </w:rPr>
              <w:t>R-squared</w:t>
            </w:r>
          </w:p>
        </w:tc>
        <w:tc>
          <w:tcPr>
            <w:tcW w:w="1133" w:type="dxa"/>
            <w:tcBorders>
              <w:top w:val="nil"/>
              <w:left w:val="nil"/>
              <w:bottom w:val="single" w:sz="4" w:space="0" w:color="000000"/>
              <w:right w:val="nil"/>
            </w:tcBorders>
            <w:shd w:val="clear" w:color="auto" w:fill="auto"/>
            <w:noWrap/>
            <w:vAlign w:val="center"/>
            <w:hideMark/>
          </w:tcPr>
          <w:p w:rsidR="008B6B0C" w:rsidRPr="00B46837" w:rsidRDefault="008B6B0C" w:rsidP="00B851ED">
            <w:pPr>
              <w:rPr>
                <w:sz w:val="20"/>
                <w:szCs w:val="20"/>
              </w:rPr>
            </w:pPr>
            <w:r w:rsidRPr="00B46837">
              <w:rPr>
                <w:sz w:val="20"/>
                <w:szCs w:val="20"/>
              </w:rPr>
              <w:t>0.392</w:t>
            </w:r>
          </w:p>
        </w:tc>
        <w:tc>
          <w:tcPr>
            <w:tcW w:w="1133" w:type="dxa"/>
            <w:tcBorders>
              <w:top w:val="nil"/>
              <w:left w:val="nil"/>
              <w:bottom w:val="single" w:sz="4" w:space="0" w:color="000000"/>
              <w:right w:val="nil"/>
            </w:tcBorders>
            <w:shd w:val="clear" w:color="auto" w:fill="auto"/>
            <w:noWrap/>
            <w:vAlign w:val="center"/>
            <w:hideMark/>
          </w:tcPr>
          <w:p w:rsidR="008B6B0C" w:rsidRPr="00B46837" w:rsidRDefault="008B6B0C">
            <w:pPr>
              <w:rPr>
                <w:sz w:val="20"/>
                <w:szCs w:val="20"/>
              </w:rPr>
            </w:pPr>
            <w:r w:rsidRPr="00B46837">
              <w:rPr>
                <w:sz w:val="20"/>
                <w:szCs w:val="20"/>
              </w:rPr>
              <w:t>0.368</w:t>
            </w:r>
          </w:p>
        </w:tc>
        <w:tc>
          <w:tcPr>
            <w:tcW w:w="1133" w:type="dxa"/>
            <w:tcBorders>
              <w:top w:val="nil"/>
              <w:left w:val="nil"/>
              <w:bottom w:val="single" w:sz="4" w:space="0" w:color="000000"/>
              <w:right w:val="nil"/>
            </w:tcBorders>
            <w:shd w:val="clear" w:color="auto" w:fill="auto"/>
            <w:noWrap/>
            <w:vAlign w:val="center"/>
            <w:hideMark/>
          </w:tcPr>
          <w:p w:rsidR="008B6B0C" w:rsidRPr="00B46837" w:rsidRDefault="008B6B0C">
            <w:pPr>
              <w:rPr>
                <w:sz w:val="20"/>
                <w:szCs w:val="20"/>
              </w:rPr>
            </w:pPr>
            <w:r w:rsidRPr="00B46837">
              <w:rPr>
                <w:sz w:val="20"/>
                <w:szCs w:val="20"/>
              </w:rPr>
              <w:t>0.393</w:t>
            </w:r>
          </w:p>
        </w:tc>
        <w:tc>
          <w:tcPr>
            <w:tcW w:w="1133" w:type="dxa"/>
            <w:tcBorders>
              <w:top w:val="nil"/>
              <w:left w:val="nil"/>
              <w:bottom w:val="single" w:sz="4" w:space="0" w:color="000000"/>
              <w:right w:val="nil"/>
            </w:tcBorders>
            <w:shd w:val="clear" w:color="auto" w:fill="auto"/>
            <w:noWrap/>
            <w:vAlign w:val="center"/>
            <w:hideMark/>
          </w:tcPr>
          <w:p w:rsidR="008B6B0C" w:rsidRPr="00B46837" w:rsidRDefault="008B6B0C">
            <w:pPr>
              <w:rPr>
                <w:sz w:val="20"/>
                <w:szCs w:val="20"/>
              </w:rPr>
            </w:pPr>
            <w:r w:rsidRPr="00B46837">
              <w:rPr>
                <w:sz w:val="20"/>
                <w:szCs w:val="20"/>
              </w:rPr>
              <w:t>0.370</w:t>
            </w:r>
          </w:p>
        </w:tc>
        <w:tc>
          <w:tcPr>
            <w:tcW w:w="1133" w:type="dxa"/>
            <w:tcBorders>
              <w:top w:val="nil"/>
              <w:left w:val="nil"/>
              <w:bottom w:val="single" w:sz="4" w:space="0" w:color="000000"/>
              <w:right w:val="nil"/>
            </w:tcBorders>
            <w:shd w:val="clear" w:color="auto" w:fill="auto"/>
            <w:noWrap/>
            <w:vAlign w:val="center"/>
            <w:hideMark/>
          </w:tcPr>
          <w:p w:rsidR="008B6B0C" w:rsidRPr="00B46837" w:rsidRDefault="008B6B0C">
            <w:pPr>
              <w:rPr>
                <w:sz w:val="20"/>
                <w:szCs w:val="20"/>
              </w:rPr>
            </w:pPr>
            <w:r w:rsidRPr="00B46837">
              <w:rPr>
                <w:sz w:val="20"/>
                <w:szCs w:val="20"/>
              </w:rPr>
              <w:t>0.509</w:t>
            </w:r>
          </w:p>
        </w:tc>
        <w:tc>
          <w:tcPr>
            <w:tcW w:w="1133" w:type="dxa"/>
            <w:tcBorders>
              <w:top w:val="nil"/>
              <w:left w:val="nil"/>
              <w:bottom w:val="single" w:sz="4" w:space="0" w:color="000000"/>
              <w:right w:val="nil"/>
            </w:tcBorders>
            <w:shd w:val="clear" w:color="auto" w:fill="auto"/>
            <w:noWrap/>
            <w:vAlign w:val="center"/>
            <w:hideMark/>
          </w:tcPr>
          <w:p w:rsidR="008B6B0C" w:rsidRPr="00B46837" w:rsidRDefault="008B6B0C">
            <w:pPr>
              <w:rPr>
                <w:sz w:val="20"/>
                <w:szCs w:val="20"/>
              </w:rPr>
            </w:pPr>
            <w:r w:rsidRPr="00B46837">
              <w:rPr>
                <w:sz w:val="20"/>
                <w:szCs w:val="20"/>
              </w:rPr>
              <w:t>0.450</w:t>
            </w:r>
          </w:p>
        </w:tc>
      </w:tr>
    </w:tbl>
    <w:p w:rsidR="008B6B0C" w:rsidRPr="00ED093D" w:rsidRDefault="008B6B0C" w:rsidP="008B6B0C">
      <w:pPr>
        <w:jc w:val="both"/>
        <w:rPr>
          <w:sz w:val="20"/>
        </w:rPr>
      </w:pPr>
      <w:r w:rsidRPr="00ED093D">
        <w:rPr>
          <w:sz w:val="20"/>
        </w:rPr>
        <w:t>Numbers in parentheses below coefficients are t-statistics. *, **, and *** indicate significance at the 10%, 5%, and 1% levels, respectively.</w:t>
      </w:r>
    </w:p>
    <w:p w:rsidR="008B6B0C" w:rsidRDefault="008B6B0C" w:rsidP="008B6B0C">
      <w:pPr>
        <w:jc w:val="both"/>
        <w:rPr>
          <w:sz w:val="20"/>
        </w:rPr>
      </w:pPr>
      <w:r w:rsidRPr="00ED093D">
        <w:rPr>
          <w:sz w:val="20"/>
        </w:rPr>
        <w:t>Year fixed-effect dummy variables are included in the model but the results are not reported for brevity.</w:t>
      </w:r>
    </w:p>
    <w:p w:rsidR="008B6B0C" w:rsidRPr="00ED093D" w:rsidRDefault="008B6B0C" w:rsidP="008B6B0C">
      <w:pPr>
        <w:jc w:val="both"/>
        <w:rPr>
          <w:sz w:val="20"/>
        </w:rPr>
      </w:pPr>
      <w:r>
        <w:rPr>
          <w:sz w:val="20"/>
        </w:rPr>
        <w:t xml:space="preserve">Models 1 </w:t>
      </w:r>
      <w:r w:rsidR="00D2515D">
        <w:rPr>
          <w:sz w:val="20"/>
        </w:rPr>
        <w:t>and</w:t>
      </w:r>
      <w:r>
        <w:rPr>
          <w:sz w:val="20"/>
        </w:rPr>
        <w:t xml:space="preserve"> 2 include all definition of family firms. Models 3 </w:t>
      </w:r>
      <w:r w:rsidR="00D2515D">
        <w:rPr>
          <w:sz w:val="20"/>
        </w:rPr>
        <w:t>and</w:t>
      </w:r>
      <w:r>
        <w:rPr>
          <w:sz w:val="20"/>
        </w:rPr>
        <w:t xml:space="preserve"> 4 exclude firms which are owned by a mutual parent organization. Models 5 </w:t>
      </w:r>
      <w:r w:rsidR="00D2515D">
        <w:rPr>
          <w:sz w:val="20"/>
        </w:rPr>
        <w:t>and</w:t>
      </w:r>
      <w:r>
        <w:rPr>
          <w:sz w:val="20"/>
        </w:rPr>
        <w:t xml:space="preserve"> 6 exclude all family-controlled firms.</w:t>
      </w:r>
    </w:p>
    <w:p w:rsidR="008B6B0C" w:rsidRDefault="008B6B0C" w:rsidP="008B6B0C">
      <w:pPr>
        <w:rPr>
          <w:sz w:val="20"/>
        </w:rPr>
      </w:pPr>
      <w:r>
        <w:rPr>
          <w:sz w:val="20"/>
        </w:rPr>
        <w:br w:type="page"/>
      </w:r>
    </w:p>
    <w:p w:rsidR="008B6B0C" w:rsidRPr="00980732" w:rsidRDefault="008B6B0C" w:rsidP="008B6B0C">
      <w:pPr>
        <w:rPr>
          <w:b/>
          <w:sz w:val="22"/>
        </w:rPr>
      </w:pPr>
      <w:r w:rsidRPr="00980732">
        <w:rPr>
          <w:b/>
          <w:sz w:val="22"/>
        </w:rPr>
        <w:lastRenderedPageBreak/>
        <w:t>Table 5</w:t>
      </w:r>
    </w:p>
    <w:p w:rsidR="008B6B0C" w:rsidRPr="00980732" w:rsidRDefault="008B6B0C" w:rsidP="008B6B0C">
      <w:pPr>
        <w:rPr>
          <w:sz w:val="22"/>
        </w:rPr>
      </w:pPr>
      <w:r w:rsidRPr="00980732">
        <w:rPr>
          <w:sz w:val="22"/>
        </w:rPr>
        <w:t>Empirical Results (Dependent Variable = ROE)</w:t>
      </w:r>
    </w:p>
    <w:tbl>
      <w:tblPr>
        <w:tblStyle w:val="TableGrid"/>
        <w:tblW w:w="8671" w:type="dxa"/>
        <w:tblBorders>
          <w:left w:val="none" w:sz="0" w:space="0" w:color="auto"/>
          <w:right w:val="none" w:sz="0" w:space="0" w:color="auto"/>
          <w:insideH w:val="none" w:sz="0" w:space="0" w:color="auto"/>
          <w:insideV w:val="none" w:sz="0" w:space="0" w:color="auto"/>
        </w:tblBorders>
        <w:tblLayout w:type="fixed"/>
        <w:tblLook w:val="04A0"/>
      </w:tblPr>
      <w:tblGrid>
        <w:gridCol w:w="1843"/>
        <w:gridCol w:w="1138"/>
        <w:gridCol w:w="1138"/>
        <w:gridCol w:w="1138"/>
        <w:gridCol w:w="1138"/>
        <w:gridCol w:w="1138"/>
        <w:gridCol w:w="1138"/>
      </w:tblGrid>
      <w:tr w:rsidR="00B851ED" w:rsidRPr="00B851ED" w:rsidTr="00B851ED">
        <w:trPr>
          <w:trHeight w:val="255"/>
        </w:trPr>
        <w:tc>
          <w:tcPr>
            <w:tcW w:w="1843" w:type="dxa"/>
            <w:tcBorders>
              <w:top w:val="single" w:sz="4" w:space="0" w:color="auto"/>
              <w:bottom w:val="single" w:sz="4" w:space="0" w:color="auto"/>
            </w:tcBorders>
            <w:noWrap/>
            <w:hideMark/>
          </w:tcPr>
          <w:p w:rsidR="008B6B0C" w:rsidRPr="00B851ED" w:rsidRDefault="008B6B0C" w:rsidP="00A612AD">
            <w:pPr>
              <w:rPr>
                <w:rFonts w:eastAsia="Times New Roman"/>
                <w:b/>
                <w:sz w:val="20"/>
                <w:szCs w:val="20"/>
              </w:rPr>
            </w:pPr>
            <w:r w:rsidRPr="00B851ED">
              <w:rPr>
                <w:rFonts w:eastAsia="Times New Roman"/>
                <w:b/>
                <w:sz w:val="20"/>
                <w:szCs w:val="20"/>
              </w:rPr>
              <w:t>VARIABLES</w:t>
            </w:r>
          </w:p>
        </w:tc>
        <w:tc>
          <w:tcPr>
            <w:tcW w:w="1138" w:type="dxa"/>
            <w:tcBorders>
              <w:top w:val="single" w:sz="4" w:space="0" w:color="auto"/>
              <w:bottom w:val="single" w:sz="4" w:space="0" w:color="auto"/>
            </w:tcBorders>
            <w:noWrap/>
            <w:hideMark/>
          </w:tcPr>
          <w:p w:rsidR="008B6B0C" w:rsidRPr="00B851ED" w:rsidRDefault="008B6B0C" w:rsidP="00A612AD">
            <w:pPr>
              <w:jc w:val="center"/>
              <w:rPr>
                <w:rFonts w:eastAsia="Times New Roman"/>
                <w:b/>
                <w:sz w:val="20"/>
                <w:szCs w:val="20"/>
              </w:rPr>
            </w:pPr>
            <w:r w:rsidRPr="00B851ED">
              <w:rPr>
                <w:rFonts w:eastAsia="Times New Roman"/>
                <w:b/>
                <w:sz w:val="20"/>
                <w:szCs w:val="20"/>
              </w:rPr>
              <w:t>Model 1</w:t>
            </w:r>
          </w:p>
        </w:tc>
        <w:tc>
          <w:tcPr>
            <w:tcW w:w="1138" w:type="dxa"/>
            <w:tcBorders>
              <w:top w:val="single" w:sz="4" w:space="0" w:color="auto"/>
              <w:bottom w:val="single" w:sz="4" w:space="0" w:color="auto"/>
            </w:tcBorders>
            <w:noWrap/>
            <w:hideMark/>
          </w:tcPr>
          <w:p w:rsidR="008B6B0C" w:rsidRPr="00B851ED" w:rsidRDefault="008B6B0C" w:rsidP="00A612AD">
            <w:pPr>
              <w:jc w:val="center"/>
              <w:rPr>
                <w:rFonts w:eastAsia="Times New Roman"/>
                <w:b/>
                <w:sz w:val="20"/>
                <w:szCs w:val="20"/>
              </w:rPr>
            </w:pPr>
            <w:r w:rsidRPr="00B851ED">
              <w:rPr>
                <w:rFonts w:eastAsia="Times New Roman"/>
                <w:b/>
                <w:sz w:val="20"/>
                <w:szCs w:val="20"/>
              </w:rPr>
              <w:t>Model 2</w:t>
            </w:r>
          </w:p>
        </w:tc>
        <w:tc>
          <w:tcPr>
            <w:tcW w:w="1138" w:type="dxa"/>
            <w:tcBorders>
              <w:top w:val="single" w:sz="4" w:space="0" w:color="auto"/>
              <w:bottom w:val="single" w:sz="4" w:space="0" w:color="auto"/>
            </w:tcBorders>
            <w:noWrap/>
            <w:hideMark/>
          </w:tcPr>
          <w:p w:rsidR="008B6B0C" w:rsidRPr="00B851ED" w:rsidRDefault="008B6B0C" w:rsidP="00A612AD">
            <w:pPr>
              <w:jc w:val="center"/>
              <w:rPr>
                <w:rFonts w:eastAsia="Times New Roman"/>
                <w:b/>
                <w:sz w:val="20"/>
                <w:szCs w:val="20"/>
              </w:rPr>
            </w:pPr>
            <w:r w:rsidRPr="00B851ED">
              <w:rPr>
                <w:rFonts w:eastAsia="Times New Roman"/>
                <w:b/>
                <w:sz w:val="20"/>
                <w:szCs w:val="20"/>
              </w:rPr>
              <w:t>Model 3</w:t>
            </w:r>
          </w:p>
        </w:tc>
        <w:tc>
          <w:tcPr>
            <w:tcW w:w="1138" w:type="dxa"/>
            <w:tcBorders>
              <w:top w:val="single" w:sz="4" w:space="0" w:color="auto"/>
              <w:bottom w:val="single" w:sz="4" w:space="0" w:color="auto"/>
            </w:tcBorders>
            <w:noWrap/>
            <w:hideMark/>
          </w:tcPr>
          <w:p w:rsidR="008B6B0C" w:rsidRPr="00B851ED" w:rsidRDefault="008B6B0C" w:rsidP="00A612AD">
            <w:pPr>
              <w:jc w:val="center"/>
              <w:rPr>
                <w:rFonts w:eastAsia="Times New Roman"/>
                <w:b/>
                <w:sz w:val="20"/>
                <w:szCs w:val="20"/>
              </w:rPr>
            </w:pPr>
            <w:r w:rsidRPr="00B851ED">
              <w:rPr>
                <w:rFonts w:eastAsia="Times New Roman"/>
                <w:b/>
                <w:sz w:val="20"/>
                <w:szCs w:val="20"/>
              </w:rPr>
              <w:t>Model 4</w:t>
            </w:r>
          </w:p>
        </w:tc>
        <w:tc>
          <w:tcPr>
            <w:tcW w:w="1138" w:type="dxa"/>
            <w:tcBorders>
              <w:top w:val="single" w:sz="4" w:space="0" w:color="auto"/>
              <w:bottom w:val="single" w:sz="4" w:space="0" w:color="auto"/>
            </w:tcBorders>
            <w:noWrap/>
            <w:hideMark/>
          </w:tcPr>
          <w:p w:rsidR="008B6B0C" w:rsidRPr="00B851ED" w:rsidRDefault="008B6B0C" w:rsidP="00A612AD">
            <w:pPr>
              <w:jc w:val="center"/>
              <w:rPr>
                <w:rFonts w:eastAsia="Times New Roman"/>
                <w:b/>
                <w:sz w:val="20"/>
                <w:szCs w:val="20"/>
              </w:rPr>
            </w:pPr>
            <w:r w:rsidRPr="00B851ED">
              <w:rPr>
                <w:rFonts w:eastAsia="Times New Roman"/>
                <w:b/>
                <w:sz w:val="20"/>
                <w:szCs w:val="20"/>
              </w:rPr>
              <w:t>Model 5</w:t>
            </w:r>
          </w:p>
        </w:tc>
        <w:tc>
          <w:tcPr>
            <w:tcW w:w="1138" w:type="dxa"/>
            <w:tcBorders>
              <w:top w:val="single" w:sz="4" w:space="0" w:color="auto"/>
              <w:bottom w:val="single" w:sz="4" w:space="0" w:color="auto"/>
            </w:tcBorders>
            <w:noWrap/>
            <w:hideMark/>
          </w:tcPr>
          <w:p w:rsidR="008B6B0C" w:rsidRPr="00B851ED" w:rsidRDefault="008B6B0C" w:rsidP="00A612AD">
            <w:pPr>
              <w:jc w:val="center"/>
              <w:rPr>
                <w:rFonts w:eastAsia="Times New Roman"/>
                <w:b/>
                <w:sz w:val="20"/>
                <w:szCs w:val="20"/>
              </w:rPr>
            </w:pPr>
            <w:r w:rsidRPr="00B851ED">
              <w:rPr>
                <w:rFonts w:eastAsia="Times New Roman"/>
                <w:b/>
                <w:sz w:val="20"/>
                <w:szCs w:val="20"/>
              </w:rPr>
              <w:t>Model 6</w:t>
            </w:r>
          </w:p>
        </w:tc>
      </w:tr>
      <w:tr w:rsidR="00B851ED" w:rsidRPr="00B851ED" w:rsidTr="00B851ED">
        <w:trPr>
          <w:trHeight w:val="255"/>
        </w:trPr>
        <w:tc>
          <w:tcPr>
            <w:tcW w:w="1843" w:type="dxa"/>
            <w:tcBorders>
              <w:top w:val="single" w:sz="4" w:space="0" w:color="auto"/>
            </w:tcBorders>
            <w:noWrap/>
            <w:hideMark/>
          </w:tcPr>
          <w:p w:rsidR="008B6B0C" w:rsidRPr="00B851ED" w:rsidRDefault="008B6B0C" w:rsidP="00A612AD">
            <w:pPr>
              <w:rPr>
                <w:rFonts w:eastAsia="Times New Roman"/>
                <w:sz w:val="20"/>
                <w:szCs w:val="20"/>
              </w:rPr>
            </w:pPr>
            <w:r w:rsidRPr="00B851ED">
              <w:rPr>
                <w:rFonts w:eastAsia="Times New Roman"/>
                <w:sz w:val="20"/>
                <w:szCs w:val="20"/>
              </w:rPr>
              <w:t> </w:t>
            </w:r>
          </w:p>
          <w:p w:rsidR="008B6B0C" w:rsidRPr="00B851ED" w:rsidRDefault="008B6B0C" w:rsidP="00A612AD">
            <w:pPr>
              <w:rPr>
                <w:rFonts w:eastAsia="Times New Roman"/>
                <w:i/>
                <w:sz w:val="20"/>
                <w:szCs w:val="20"/>
              </w:rPr>
            </w:pPr>
            <w:r w:rsidRPr="00B851ED">
              <w:rPr>
                <w:rFonts w:eastAsia="Times New Roman"/>
                <w:i/>
                <w:sz w:val="20"/>
                <w:szCs w:val="20"/>
              </w:rPr>
              <w:t>Governance</w:t>
            </w:r>
          </w:p>
        </w:tc>
        <w:tc>
          <w:tcPr>
            <w:tcW w:w="1138" w:type="dxa"/>
            <w:tcBorders>
              <w:top w:val="single" w:sz="4" w:space="0" w:color="auto"/>
            </w:tcBorders>
            <w:noWrap/>
            <w:hideMark/>
          </w:tcPr>
          <w:p w:rsidR="008B6B0C" w:rsidRPr="00B851ED" w:rsidRDefault="008B6B0C" w:rsidP="00A612AD">
            <w:pPr>
              <w:rPr>
                <w:rFonts w:eastAsia="Times New Roman"/>
                <w:sz w:val="20"/>
                <w:szCs w:val="20"/>
              </w:rPr>
            </w:pPr>
          </w:p>
        </w:tc>
        <w:tc>
          <w:tcPr>
            <w:tcW w:w="1138" w:type="dxa"/>
            <w:tcBorders>
              <w:top w:val="single" w:sz="4" w:space="0" w:color="auto"/>
            </w:tcBorders>
            <w:noWrap/>
            <w:hideMark/>
          </w:tcPr>
          <w:p w:rsidR="008B6B0C" w:rsidRPr="00B851ED" w:rsidRDefault="008B6B0C" w:rsidP="00A612AD">
            <w:pPr>
              <w:rPr>
                <w:rFonts w:eastAsia="Times New Roman"/>
                <w:sz w:val="20"/>
                <w:szCs w:val="20"/>
              </w:rPr>
            </w:pPr>
            <w:r w:rsidRPr="00B851ED">
              <w:rPr>
                <w:rFonts w:eastAsia="Times New Roman"/>
                <w:sz w:val="20"/>
                <w:szCs w:val="20"/>
              </w:rPr>
              <w:t> </w:t>
            </w:r>
          </w:p>
        </w:tc>
        <w:tc>
          <w:tcPr>
            <w:tcW w:w="1138" w:type="dxa"/>
            <w:tcBorders>
              <w:top w:val="single" w:sz="4" w:space="0" w:color="auto"/>
            </w:tcBorders>
            <w:noWrap/>
            <w:hideMark/>
          </w:tcPr>
          <w:p w:rsidR="008B6B0C" w:rsidRPr="00B851ED" w:rsidRDefault="008B6B0C" w:rsidP="00A612AD">
            <w:pPr>
              <w:rPr>
                <w:rFonts w:eastAsia="Times New Roman"/>
                <w:sz w:val="20"/>
                <w:szCs w:val="20"/>
              </w:rPr>
            </w:pPr>
            <w:r w:rsidRPr="00B851ED">
              <w:rPr>
                <w:rFonts w:eastAsia="Times New Roman"/>
                <w:sz w:val="20"/>
                <w:szCs w:val="20"/>
              </w:rPr>
              <w:t> </w:t>
            </w:r>
          </w:p>
        </w:tc>
        <w:tc>
          <w:tcPr>
            <w:tcW w:w="1138" w:type="dxa"/>
            <w:tcBorders>
              <w:top w:val="single" w:sz="4" w:space="0" w:color="auto"/>
            </w:tcBorders>
            <w:noWrap/>
            <w:hideMark/>
          </w:tcPr>
          <w:p w:rsidR="008B6B0C" w:rsidRPr="00B851ED" w:rsidRDefault="008B6B0C" w:rsidP="00A612AD">
            <w:pPr>
              <w:rPr>
                <w:rFonts w:eastAsia="Times New Roman"/>
                <w:sz w:val="20"/>
                <w:szCs w:val="20"/>
              </w:rPr>
            </w:pPr>
            <w:r w:rsidRPr="00B851ED">
              <w:rPr>
                <w:rFonts w:eastAsia="Times New Roman"/>
                <w:sz w:val="20"/>
                <w:szCs w:val="20"/>
              </w:rPr>
              <w:t> </w:t>
            </w:r>
          </w:p>
        </w:tc>
        <w:tc>
          <w:tcPr>
            <w:tcW w:w="1138" w:type="dxa"/>
            <w:tcBorders>
              <w:top w:val="single" w:sz="4" w:space="0" w:color="auto"/>
            </w:tcBorders>
            <w:noWrap/>
            <w:hideMark/>
          </w:tcPr>
          <w:p w:rsidR="008B6B0C" w:rsidRPr="00B851ED" w:rsidRDefault="008B6B0C" w:rsidP="00A612AD">
            <w:pPr>
              <w:rPr>
                <w:rFonts w:eastAsia="Times New Roman"/>
                <w:sz w:val="20"/>
                <w:szCs w:val="20"/>
              </w:rPr>
            </w:pPr>
            <w:r w:rsidRPr="00B851ED">
              <w:rPr>
                <w:rFonts w:eastAsia="Times New Roman"/>
                <w:sz w:val="20"/>
                <w:szCs w:val="20"/>
              </w:rPr>
              <w:t> </w:t>
            </w:r>
          </w:p>
        </w:tc>
        <w:tc>
          <w:tcPr>
            <w:tcW w:w="1138" w:type="dxa"/>
            <w:tcBorders>
              <w:top w:val="single" w:sz="4" w:space="0" w:color="auto"/>
            </w:tcBorders>
            <w:noWrap/>
            <w:hideMark/>
          </w:tcPr>
          <w:p w:rsidR="008B6B0C" w:rsidRPr="00B851ED" w:rsidRDefault="008B6B0C" w:rsidP="00A612AD">
            <w:pPr>
              <w:rPr>
                <w:rFonts w:eastAsia="Times New Roman"/>
                <w:sz w:val="20"/>
                <w:szCs w:val="20"/>
              </w:rPr>
            </w:pPr>
            <w:r w:rsidRPr="00B851ED">
              <w:rPr>
                <w:rFonts w:eastAsia="Times New Roman"/>
                <w:sz w:val="20"/>
                <w:szCs w:val="20"/>
              </w:rPr>
              <w:t> </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Family</w:t>
            </w:r>
          </w:p>
        </w:tc>
        <w:tc>
          <w:tcPr>
            <w:tcW w:w="1138" w:type="dxa"/>
            <w:noWrap/>
            <w:hideMark/>
          </w:tcPr>
          <w:p w:rsidR="00B851ED" w:rsidRPr="00B851ED" w:rsidRDefault="00B851ED" w:rsidP="00B851ED">
            <w:pPr>
              <w:rPr>
                <w:sz w:val="20"/>
                <w:szCs w:val="20"/>
              </w:rPr>
            </w:pPr>
            <w:r w:rsidRPr="00EB01D8">
              <w:rPr>
                <w:sz w:val="20"/>
                <w:szCs w:val="20"/>
              </w:rPr>
              <w:t>0.010</w:t>
            </w:r>
          </w:p>
        </w:tc>
        <w:tc>
          <w:tcPr>
            <w:tcW w:w="1138" w:type="dxa"/>
            <w:noWrap/>
            <w:hideMark/>
          </w:tcPr>
          <w:p w:rsidR="00B851ED" w:rsidRPr="00B851ED" w:rsidRDefault="00B851ED" w:rsidP="00B851ED">
            <w:pPr>
              <w:rPr>
                <w:sz w:val="20"/>
                <w:szCs w:val="20"/>
              </w:rPr>
            </w:pPr>
            <w:r w:rsidRPr="00EB01D8">
              <w:rPr>
                <w:sz w:val="20"/>
                <w:szCs w:val="20"/>
              </w:rPr>
              <w:t>-0.004</w:t>
            </w:r>
          </w:p>
        </w:tc>
        <w:tc>
          <w:tcPr>
            <w:tcW w:w="1138" w:type="dxa"/>
            <w:noWrap/>
            <w:hideMark/>
          </w:tcPr>
          <w:p w:rsidR="00B851ED" w:rsidRPr="00B851ED" w:rsidRDefault="00B851ED" w:rsidP="00B851ED">
            <w:pPr>
              <w:rPr>
                <w:sz w:val="20"/>
                <w:szCs w:val="20"/>
              </w:rPr>
            </w:pPr>
            <w:r w:rsidRPr="00EB01D8">
              <w:rPr>
                <w:sz w:val="20"/>
                <w:szCs w:val="20"/>
              </w:rPr>
              <w:t>0.006</w:t>
            </w:r>
          </w:p>
        </w:tc>
        <w:tc>
          <w:tcPr>
            <w:tcW w:w="1138" w:type="dxa"/>
            <w:noWrap/>
            <w:hideMark/>
          </w:tcPr>
          <w:p w:rsidR="00B851ED" w:rsidRPr="00B851ED" w:rsidRDefault="00B851ED">
            <w:pPr>
              <w:rPr>
                <w:sz w:val="20"/>
                <w:szCs w:val="20"/>
              </w:rPr>
            </w:pPr>
            <w:r w:rsidRPr="00EB01D8">
              <w:rPr>
                <w:sz w:val="20"/>
                <w:szCs w:val="20"/>
              </w:rPr>
              <w:t>-0.013</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(0.818)</w:t>
            </w:r>
          </w:p>
        </w:tc>
        <w:tc>
          <w:tcPr>
            <w:tcW w:w="1138" w:type="dxa"/>
            <w:noWrap/>
            <w:hideMark/>
          </w:tcPr>
          <w:p w:rsidR="00B851ED" w:rsidRPr="00B851ED" w:rsidRDefault="00B851ED" w:rsidP="00B851ED">
            <w:pPr>
              <w:rPr>
                <w:sz w:val="20"/>
                <w:szCs w:val="20"/>
              </w:rPr>
            </w:pPr>
            <w:r w:rsidRPr="00EB01D8">
              <w:rPr>
                <w:sz w:val="20"/>
                <w:szCs w:val="20"/>
              </w:rPr>
              <w:t>(-0.267)</w:t>
            </w:r>
          </w:p>
        </w:tc>
        <w:tc>
          <w:tcPr>
            <w:tcW w:w="1138" w:type="dxa"/>
            <w:noWrap/>
            <w:hideMark/>
          </w:tcPr>
          <w:p w:rsidR="00B851ED" w:rsidRPr="00B851ED" w:rsidRDefault="00B851ED" w:rsidP="00B851ED">
            <w:pPr>
              <w:rPr>
                <w:sz w:val="20"/>
                <w:szCs w:val="20"/>
              </w:rPr>
            </w:pPr>
            <w:r w:rsidRPr="00EB01D8">
              <w:rPr>
                <w:sz w:val="20"/>
                <w:szCs w:val="20"/>
              </w:rPr>
              <w:t>(0.500)</w:t>
            </w:r>
          </w:p>
        </w:tc>
        <w:tc>
          <w:tcPr>
            <w:tcW w:w="1138" w:type="dxa"/>
            <w:noWrap/>
            <w:hideMark/>
          </w:tcPr>
          <w:p w:rsidR="00B851ED" w:rsidRPr="00B851ED" w:rsidRDefault="00B851ED">
            <w:pPr>
              <w:rPr>
                <w:sz w:val="20"/>
                <w:szCs w:val="20"/>
              </w:rPr>
            </w:pPr>
            <w:r w:rsidRPr="00EB01D8">
              <w:rPr>
                <w:sz w:val="20"/>
                <w:szCs w:val="20"/>
              </w:rPr>
              <w:t>(-0.962)</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Duality</w:t>
            </w:r>
          </w:p>
        </w:tc>
        <w:tc>
          <w:tcPr>
            <w:tcW w:w="1138" w:type="dxa"/>
            <w:noWrap/>
            <w:hideMark/>
          </w:tcPr>
          <w:p w:rsidR="00B851ED" w:rsidRPr="00B851ED" w:rsidRDefault="00B851ED" w:rsidP="00B851ED">
            <w:pPr>
              <w:rPr>
                <w:sz w:val="20"/>
                <w:szCs w:val="20"/>
              </w:rPr>
            </w:pPr>
            <w:r w:rsidRPr="00EB01D8">
              <w:rPr>
                <w:sz w:val="20"/>
                <w:szCs w:val="20"/>
              </w:rPr>
              <w:t>0.014</w:t>
            </w:r>
          </w:p>
        </w:tc>
        <w:tc>
          <w:tcPr>
            <w:tcW w:w="1138" w:type="dxa"/>
            <w:noWrap/>
            <w:hideMark/>
          </w:tcPr>
          <w:p w:rsidR="00B851ED" w:rsidRPr="00B851ED" w:rsidRDefault="00B851ED" w:rsidP="00B851ED">
            <w:pPr>
              <w:rPr>
                <w:sz w:val="20"/>
                <w:szCs w:val="20"/>
              </w:rPr>
            </w:pPr>
            <w:r w:rsidRPr="00EB01D8">
              <w:rPr>
                <w:sz w:val="20"/>
                <w:szCs w:val="20"/>
              </w:rPr>
              <w:t>0.018</w:t>
            </w:r>
          </w:p>
        </w:tc>
        <w:tc>
          <w:tcPr>
            <w:tcW w:w="1138" w:type="dxa"/>
            <w:noWrap/>
            <w:hideMark/>
          </w:tcPr>
          <w:p w:rsidR="00B851ED" w:rsidRPr="00B851ED" w:rsidRDefault="00B851ED" w:rsidP="00B851ED">
            <w:pPr>
              <w:rPr>
                <w:sz w:val="20"/>
                <w:szCs w:val="20"/>
              </w:rPr>
            </w:pPr>
            <w:r w:rsidRPr="00EB01D8">
              <w:rPr>
                <w:sz w:val="20"/>
                <w:szCs w:val="20"/>
              </w:rPr>
              <w:t>0.014</w:t>
            </w:r>
          </w:p>
        </w:tc>
        <w:tc>
          <w:tcPr>
            <w:tcW w:w="1138" w:type="dxa"/>
            <w:noWrap/>
            <w:hideMark/>
          </w:tcPr>
          <w:p w:rsidR="00B851ED" w:rsidRPr="00B851ED" w:rsidRDefault="00B851ED">
            <w:pPr>
              <w:rPr>
                <w:sz w:val="20"/>
                <w:szCs w:val="20"/>
              </w:rPr>
            </w:pPr>
            <w:r w:rsidRPr="00EB01D8">
              <w:rPr>
                <w:sz w:val="20"/>
                <w:szCs w:val="20"/>
              </w:rPr>
              <w:t>0.018</w:t>
            </w:r>
          </w:p>
        </w:tc>
        <w:tc>
          <w:tcPr>
            <w:tcW w:w="1138" w:type="dxa"/>
            <w:noWrap/>
            <w:hideMark/>
          </w:tcPr>
          <w:p w:rsidR="00B851ED" w:rsidRPr="00B851ED" w:rsidRDefault="00B851ED">
            <w:pPr>
              <w:rPr>
                <w:sz w:val="20"/>
                <w:szCs w:val="20"/>
              </w:rPr>
            </w:pPr>
            <w:r w:rsidRPr="00EB01D8">
              <w:rPr>
                <w:sz w:val="20"/>
                <w:szCs w:val="20"/>
              </w:rPr>
              <w:t>0.024</w:t>
            </w:r>
          </w:p>
        </w:tc>
        <w:tc>
          <w:tcPr>
            <w:tcW w:w="1138" w:type="dxa"/>
            <w:noWrap/>
            <w:hideMark/>
          </w:tcPr>
          <w:p w:rsidR="00B851ED" w:rsidRPr="00B851ED" w:rsidRDefault="00B851ED">
            <w:pPr>
              <w:rPr>
                <w:sz w:val="20"/>
                <w:szCs w:val="20"/>
              </w:rPr>
            </w:pPr>
            <w:r w:rsidRPr="00EB01D8">
              <w:rPr>
                <w:sz w:val="20"/>
                <w:szCs w:val="20"/>
              </w:rPr>
              <w:t>0.026</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(0.898)</w:t>
            </w:r>
          </w:p>
        </w:tc>
        <w:tc>
          <w:tcPr>
            <w:tcW w:w="1138" w:type="dxa"/>
            <w:noWrap/>
            <w:hideMark/>
          </w:tcPr>
          <w:p w:rsidR="00B851ED" w:rsidRPr="00B851ED" w:rsidRDefault="00B851ED" w:rsidP="00B851ED">
            <w:pPr>
              <w:rPr>
                <w:sz w:val="20"/>
                <w:szCs w:val="20"/>
              </w:rPr>
            </w:pPr>
            <w:r w:rsidRPr="00EB01D8">
              <w:rPr>
                <w:sz w:val="20"/>
                <w:szCs w:val="20"/>
              </w:rPr>
              <w:t>(1.126)</w:t>
            </w:r>
          </w:p>
        </w:tc>
        <w:tc>
          <w:tcPr>
            <w:tcW w:w="1138" w:type="dxa"/>
            <w:noWrap/>
            <w:hideMark/>
          </w:tcPr>
          <w:p w:rsidR="00B851ED" w:rsidRPr="00B851ED" w:rsidRDefault="00B851ED" w:rsidP="00B851ED">
            <w:pPr>
              <w:rPr>
                <w:sz w:val="20"/>
                <w:szCs w:val="20"/>
              </w:rPr>
            </w:pPr>
            <w:r w:rsidRPr="00EB01D8">
              <w:rPr>
                <w:sz w:val="20"/>
                <w:szCs w:val="20"/>
              </w:rPr>
              <w:t>(0.895)</w:t>
            </w:r>
          </w:p>
        </w:tc>
        <w:tc>
          <w:tcPr>
            <w:tcW w:w="1138" w:type="dxa"/>
            <w:noWrap/>
            <w:hideMark/>
          </w:tcPr>
          <w:p w:rsidR="00B851ED" w:rsidRPr="00B851ED" w:rsidRDefault="00B851ED">
            <w:pPr>
              <w:rPr>
                <w:sz w:val="20"/>
                <w:szCs w:val="20"/>
              </w:rPr>
            </w:pPr>
            <w:r w:rsidRPr="00EB01D8">
              <w:rPr>
                <w:sz w:val="20"/>
                <w:szCs w:val="20"/>
              </w:rPr>
              <w:t>(1.098)</w:t>
            </w:r>
          </w:p>
        </w:tc>
        <w:tc>
          <w:tcPr>
            <w:tcW w:w="1138" w:type="dxa"/>
            <w:noWrap/>
            <w:hideMark/>
          </w:tcPr>
          <w:p w:rsidR="00B851ED" w:rsidRPr="00B851ED" w:rsidRDefault="00B851ED">
            <w:pPr>
              <w:rPr>
                <w:sz w:val="20"/>
                <w:szCs w:val="20"/>
              </w:rPr>
            </w:pPr>
            <w:r w:rsidRPr="00EB01D8">
              <w:rPr>
                <w:sz w:val="20"/>
                <w:szCs w:val="20"/>
              </w:rPr>
              <w:t>(1.303)</w:t>
            </w:r>
          </w:p>
        </w:tc>
        <w:tc>
          <w:tcPr>
            <w:tcW w:w="1138" w:type="dxa"/>
            <w:noWrap/>
            <w:hideMark/>
          </w:tcPr>
          <w:p w:rsidR="00B851ED" w:rsidRPr="00B851ED" w:rsidRDefault="00B851ED">
            <w:pPr>
              <w:rPr>
                <w:sz w:val="20"/>
                <w:szCs w:val="20"/>
              </w:rPr>
            </w:pPr>
            <w:r w:rsidRPr="00EB01D8">
              <w:rPr>
                <w:sz w:val="20"/>
                <w:szCs w:val="20"/>
              </w:rPr>
              <w:t>(1.379)</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Family*Dual</w:t>
            </w:r>
          </w:p>
        </w:tc>
        <w:tc>
          <w:tcPr>
            <w:tcW w:w="1138" w:type="dxa"/>
            <w:noWrap/>
            <w:hideMark/>
          </w:tcPr>
          <w:p w:rsidR="00B851ED" w:rsidRPr="00B851ED" w:rsidRDefault="00B851ED" w:rsidP="00B851ED">
            <w:pPr>
              <w:rPr>
                <w:sz w:val="20"/>
                <w:szCs w:val="20"/>
              </w:rPr>
            </w:pPr>
            <w:r w:rsidRPr="00EB01D8">
              <w:rPr>
                <w:sz w:val="20"/>
                <w:szCs w:val="20"/>
              </w:rPr>
              <w:t>0.001</w:t>
            </w:r>
          </w:p>
        </w:tc>
        <w:tc>
          <w:tcPr>
            <w:tcW w:w="1138" w:type="dxa"/>
            <w:noWrap/>
            <w:hideMark/>
          </w:tcPr>
          <w:p w:rsidR="00B851ED" w:rsidRPr="00B851ED" w:rsidRDefault="00B851ED" w:rsidP="00B851ED">
            <w:pPr>
              <w:rPr>
                <w:sz w:val="20"/>
                <w:szCs w:val="20"/>
              </w:rPr>
            </w:pPr>
            <w:r w:rsidRPr="00EB01D8">
              <w:rPr>
                <w:sz w:val="20"/>
                <w:szCs w:val="20"/>
              </w:rPr>
              <w:t>0.010</w:t>
            </w:r>
          </w:p>
        </w:tc>
        <w:tc>
          <w:tcPr>
            <w:tcW w:w="1138" w:type="dxa"/>
            <w:noWrap/>
            <w:hideMark/>
          </w:tcPr>
          <w:p w:rsidR="00B851ED" w:rsidRPr="00B851ED" w:rsidRDefault="00B851ED" w:rsidP="00B851ED">
            <w:pPr>
              <w:rPr>
                <w:sz w:val="20"/>
                <w:szCs w:val="20"/>
              </w:rPr>
            </w:pPr>
            <w:r w:rsidRPr="00EB01D8">
              <w:rPr>
                <w:sz w:val="20"/>
                <w:szCs w:val="20"/>
              </w:rPr>
              <w:t>0.001</w:t>
            </w:r>
          </w:p>
        </w:tc>
        <w:tc>
          <w:tcPr>
            <w:tcW w:w="1138" w:type="dxa"/>
            <w:noWrap/>
            <w:hideMark/>
          </w:tcPr>
          <w:p w:rsidR="00B851ED" w:rsidRPr="00B851ED" w:rsidRDefault="00B851ED">
            <w:pPr>
              <w:rPr>
                <w:sz w:val="20"/>
                <w:szCs w:val="20"/>
              </w:rPr>
            </w:pPr>
            <w:r w:rsidRPr="00EB01D8">
              <w:rPr>
                <w:sz w:val="20"/>
                <w:szCs w:val="20"/>
              </w:rPr>
              <w:t>0.015</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(0.054)</w:t>
            </w:r>
          </w:p>
        </w:tc>
        <w:tc>
          <w:tcPr>
            <w:tcW w:w="1138" w:type="dxa"/>
            <w:noWrap/>
            <w:hideMark/>
          </w:tcPr>
          <w:p w:rsidR="00B851ED" w:rsidRPr="00B851ED" w:rsidRDefault="00B851ED" w:rsidP="00B851ED">
            <w:pPr>
              <w:rPr>
                <w:sz w:val="20"/>
                <w:szCs w:val="20"/>
              </w:rPr>
            </w:pPr>
            <w:r w:rsidRPr="00EB01D8">
              <w:rPr>
                <w:sz w:val="20"/>
                <w:szCs w:val="20"/>
              </w:rPr>
              <w:t>(0.570)</w:t>
            </w:r>
          </w:p>
        </w:tc>
        <w:tc>
          <w:tcPr>
            <w:tcW w:w="1138" w:type="dxa"/>
            <w:noWrap/>
            <w:hideMark/>
          </w:tcPr>
          <w:p w:rsidR="00B851ED" w:rsidRPr="00B851ED" w:rsidRDefault="00B851ED" w:rsidP="00B851ED">
            <w:pPr>
              <w:rPr>
                <w:sz w:val="20"/>
                <w:szCs w:val="20"/>
              </w:rPr>
            </w:pPr>
            <w:r w:rsidRPr="00EB01D8">
              <w:rPr>
                <w:sz w:val="20"/>
                <w:szCs w:val="20"/>
              </w:rPr>
              <w:t>(0.061)</w:t>
            </w:r>
          </w:p>
        </w:tc>
        <w:tc>
          <w:tcPr>
            <w:tcW w:w="1138" w:type="dxa"/>
            <w:noWrap/>
            <w:hideMark/>
          </w:tcPr>
          <w:p w:rsidR="00B851ED" w:rsidRPr="00B851ED" w:rsidRDefault="00B851ED">
            <w:pPr>
              <w:rPr>
                <w:sz w:val="20"/>
                <w:szCs w:val="20"/>
              </w:rPr>
            </w:pPr>
            <w:r w:rsidRPr="00EB01D8">
              <w:rPr>
                <w:sz w:val="20"/>
                <w:szCs w:val="20"/>
              </w:rPr>
              <w:t>(0.766)</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roofErr w:type="spellStart"/>
            <w:r w:rsidRPr="00B851ED">
              <w:rPr>
                <w:rFonts w:eastAsia="Times New Roman"/>
                <w:color w:val="000000"/>
                <w:sz w:val="20"/>
                <w:szCs w:val="20"/>
              </w:rPr>
              <w:t>Blockholder</w:t>
            </w:r>
            <w:proofErr w:type="spellEnd"/>
            <w:r w:rsidRPr="00B851ED">
              <w:rPr>
                <w:rFonts w:eastAsia="Times New Roman"/>
                <w:color w:val="000000"/>
                <w:sz w:val="20"/>
                <w:szCs w:val="20"/>
              </w:rPr>
              <w:t xml:space="preserve"> Pct</w:t>
            </w:r>
          </w:p>
        </w:tc>
        <w:tc>
          <w:tcPr>
            <w:tcW w:w="1138" w:type="dxa"/>
            <w:noWrap/>
            <w:hideMark/>
          </w:tcPr>
          <w:p w:rsidR="00B851ED" w:rsidRPr="00B851ED" w:rsidRDefault="00B851ED" w:rsidP="00B851ED">
            <w:pPr>
              <w:rPr>
                <w:sz w:val="20"/>
                <w:szCs w:val="20"/>
              </w:rPr>
            </w:pPr>
            <w:r w:rsidRPr="00EB01D8">
              <w:rPr>
                <w:sz w:val="20"/>
                <w:szCs w:val="20"/>
              </w:rPr>
              <w:t>-0.083***</w:t>
            </w:r>
          </w:p>
        </w:tc>
        <w:tc>
          <w:tcPr>
            <w:tcW w:w="1138" w:type="dxa"/>
            <w:noWrap/>
            <w:hideMark/>
          </w:tcPr>
          <w:p w:rsidR="00B851ED" w:rsidRPr="00B851ED" w:rsidRDefault="00B851ED" w:rsidP="00B851ED">
            <w:pPr>
              <w:rPr>
                <w:sz w:val="20"/>
                <w:szCs w:val="20"/>
              </w:rPr>
            </w:pPr>
            <w:r w:rsidRPr="00EB01D8">
              <w:rPr>
                <w:sz w:val="20"/>
                <w:szCs w:val="20"/>
              </w:rPr>
              <w:t>-0.096***</w:t>
            </w:r>
          </w:p>
        </w:tc>
        <w:tc>
          <w:tcPr>
            <w:tcW w:w="1138" w:type="dxa"/>
            <w:noWrap/>
            <w:hideMark/>
          </w:tcPr>
          <w:p w:rsidR="00B851ED" w:rsidRPr="00B851ED" w:rsidRDefault="00B851ED" w:rsidP="00B851ED">
            <w:pPr>
              <w:rPr>
                <w:sz w:val="20"/>
                <w:szCs w:val="20"/>
              </w:rPr>
            </w:pPr>
            <w:r w:rsidRPr="00EB01D8">
              <w:rPr>
                <w:sz w:val="20"/>
                <w:szCs w:val="20"/>
              </w:rPr>
              <w:t>-0.096***</w:t>
            </w:r>
          </w:p>
        </w:tc>
        <w:tc>
          <w:tcPr>
            <w:tcW w:w="1138" w:type="dxa"/>
            <w:noWrap/>
            <w:hideMark/>
          </w:tcPr>
          <w:p w:rsidR="00B851ED" w:rsidRPr="00B851ED" w:rsidRDefault="00B851ED">
            <w:pPr>
              <w:rPr>
                <w:sz w:val="20"/>
                <w:szCs w:val="20"/>
              </w:rPr>
            </w:pPr>
            <w:r w:rsidRPr="00EB01D8">
              <w:rPr>
                <w:sz w:val="20"/>
                <w:szCs w:val="20"/>
              </w:rPr>
              <w:t>-0.121***</w:t>
            </w:r>
          </w:p>
        </w:tc>
        <w:tc>
          <w:tcPr>
            <w:tcW w:w="1138" w:type="dxa"/>
            <w:noWrap/>
            <w:hideMark/>
          </w:tcPr>
          <w:p w:rsidR="00B851ED" w:rsidRPr="00B851ED" w:rsidRDefault="00B851ED">
            <w:pPr>
              <w:rPr>
                <w:sz w:val="20"/>
                <w:szCs w:val="20"/>
              </w:rPr>
            </w:pPr>
            <w:r w:rsidRPr="00EB01D8">
              <w:rPr>
                <w:sz w:val="20"/>
                <w:szCs w:val="20"/>
              </w:rPr>
              <w:t>-0.074*</w:t>
            </w:r>
          </w:p>
        </w:tc>
        <w:tc>
          <w:tcPr>
            <w:tcW w:w="1138" w:type="dxa"/>
            <w:noWrap/>
            <w:hideMark/>
          </w:tcPr>
          <w:p w:rsidR="00B851ED" w:rsidRPr="00B851ED" w:rsidRDefault="00B851ED">
            <w:pPr>
              <w:rPr>
                <w:sz w:val="20"/>
                <w:szCs w:val="20"/>
              </w:rPr>
            </w:pPr>
            <w:r w:rsidRPr="00EB01D8">
              <w:rPr>
                <w:sz w:val="20"/>
                <w:szCs w:val="20"/>
              </w:rPr>
              <w:t>-0.150***</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(-3.222)</w:t>
            </w:r>
          </w:p>
        </w:tc>
        <w:tc>
          <w:tcPr>
            <w:tcW w:w="1138" w:type="dxa"/>
            <w:noWrap/>
            <w:hideMark/>
          </w:tcPr>
          <w:p w:rsidR="00B851ED" w:rsidRPr="00B851ED" w:rsidRDefault="00B851ED" w:rsidP="00B851ED">
            <w:pPr>
              <w:rPr>
                <w:sz w:val="20"/>
                <w:szCs w:val="20"/>
              </w:rPr>
            </w:pPr>
            <w:r w:rsidRPr="00EB01D8">
              <w:rPr>
                <w:sz w:val="20"/>
                <w:szCs w:val="20"/>
              </w:rPr>
              <w:t>(-3.555)</w:t>
            </w:r>
          </w:p>
        </w:tc>
        <w:tc>
          <w:tcPr>
            <w:tcW w:w="1138" w:type="dxa"/>
            <w:noWrap/>
            <w:hideMark/>
          </w:tcPr>
          <w:p w:rsidR="00B851ED" w:rsidRPr="00B851ED" w:rsidRDefault="00B851ED" w:rsidP="00B851ED">
            <w:pPr>
              <w:rPr>
                <w:sz w:val="20"/>
                <w:szCs w:val="20"/>
              </w:rPr>
            </w:pPr>
            <w:r w:rsidRPr="00EB01D8">
              <w:rPr>
                <w:sz w:val="20"/>
                <w:szCs w:val="20"/>
              </w:rPr>
              <w:t>(-2.748)</w:t>
            </w:r>
          </w:p>
        </w:tc>
        <w:tc>
          <w:tcPr>
            <w:tcW w:w="1138" w:type="dxa"/>
            <w:noWrap/>
            <w:hideMark/>
          </w:tcPr>
          <w:p w:rsidR="00B851ED" w:rsidRPr="00B851ED" w:rsidRDefault="00B851ED">
            <w:pPr>
              <w:rPr>
                <w:sz w:val="20"/>
                <w:szCs w:val="20"/>
              </w:rPr>
            </w:pPr>
            <w:r w:rsidRPr="00EB01D8">
              <w:rPr>
                <w:sz w:val="20"/>
                <w:szCs w:val="20"/>
              </w:rPr>
              <w:t>(-3.288)</w:t>
            </w:r>
          </w:p>
        </w:tc>
        <w:tc>
          <w:tcPr>
            <w:tcW w:w="1138" w:type="dxa"/>
            <w:noWrap/>
            <w:hideMark/>
          </w:tcPr>
          <w:p w:rsidR="00B851ED" w:rsidRPr="00B851ED" w:rsidRDefault="00B851ED">
            <w:pPr>
              <w:rPr>
                <w:sz w:val="20"/>
                <w:szCs w:val="20"/>
              </w:rPr>
            </w:pPr>
            <w:r w:rsidRPr="00EB01D8">
              <w:rPr>
                <w:sz w:val="20"/>
                <w:szCs w:val="20"/>
              </w:rPr>
              <w:t>(-1.702)</w:t>
            </w:r>
          </w:p>
        </w:tc>
        <w:tc>
          <w:tcPr>
            <w:tcW w:w="1138" w:type="dxa"/>
            <w:noWrap/>
            <w:hideMark/>
          </w:tcPr>
          <w:p w:rsidR="00B851ED" w:rsidRPr="00B851ED" w:rsidRDefault="00B851ED">
            <w:pPr>
              <w:rPr>
                <w:sz w:val="20"/>
                <w:szCs w:val="20"/>
              </w:rPr>
            </w:pPr>
            <w:r w:rsidRPr="00EB01D8">
              <w:rPr>
                <w:sz w:val="20"/>
                <w:szCs w:val="20"/>
              </w:rPr>
              <w:t>(-3.107)</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color w:val="000000"/>
                <w:sz w:val="20"/>
                <w:szCs w:val="20"/>
              </w:rPr>
              <w:t>Blackrock</w:t>
            </w:r>
          </w:p>
        </w:tc>
        <w:tc>
          <w:tcPr>
            <w:tcW w:w="1138" w:type="dxa"/>
            <w:noWrap/>
            <w:hideMark/>
          </w:tcPr>
          <w:p w:rsidR="00B851ED" w:rsidRPr="00B851ED" w:rsidRDefault="00B851ED" w:rsidP="00B851ED">
            <w:pPr>
              <w:rPr>
                <w:sz w:val="20"/>
                <w:szCs w:val="20"/>
              </w:rPr>
            </w:pPr>
            <w:r w:rsidRPr="00EB01D8">
              <w:rPr>
                <w:sz w:val="20"/>
                <w:szCs w:val="20"/>
              </w:rPr>
              <w:t>0.009</w:t>
            </w:r>
          </w:p>
        </w:tc>
        <w:tc>
          <w:tcPr>
            <w:tcW w:w="1138" w:type="dxa"/>
            <w:noWrap/>
            <w:hideMark/>
          </w:tcPr>
          <w:p w:rsidR="00B851ED" w:rsidRPr="00B851ED" w:rsidRDefault="00B851ED" w:rsidP="00B851ED">
            <w:pPr>
              <w:rPr>
                <w:sz w:val="20"/>
                <w:szCs w:val="20"/>
              </w:rPr>
            </w:pPr>
            <w:r w:rsidRPr="00EB01D8">
              <w:rPr>
                <w:sz w:val="20"/>
                <w:szCs w:val="20"/>
              </w:rPr>
              <w:t>0.018*</w:t>
            </w:r>
          </w:p>
        </w:tc>
        <w:tc>
          <w:tcPr>
            <w:tcW w:w="1138" w:type="dxa"/>
            <w:noWrap/>
            <w:hideMark/>
          </w:tcPr>
          <w:p w:rsidR="00B851ED" w:rsidRPr="00B851ED" w:rsidRDefault="00B851ED" w:rsidP="00B851ED">
            <w:pPr>
              <w:rPr>
                <w:sz w:val="20"/>
                <w:szCs w:val="20"/>
              </w:rPr>
            </w:pPr>
            <w:r w:rsidRPr="00EB01D8">
              <w:rPr>
                <w:sz w:val="20"/>
                <w:szCs w:val="20"/>
              </w:rPr>
              <w:t>0.009</w:t>
            </w:r>
          </w:p>
        </w:tc>
        <w:tc>
          <w:tcPr>
            <w:tcW w:w="1138" w:type="dxa"/>
            <w:noWrap/>
            <w:hideMark/>
          </w:tcPr>
          <w:p w:rsidR="00B851ED" w:rsidRPr="00B851ED" w:rsidRDefault="00B851ED">
            <w:pPr>
              <w:rPr>
                <w:sz w:val="20"/>
                <w:szCs w:val="20"/>
              </w:rPr>
            </w:pPr>
            <w:r w:rsidRPr="00EB01D8">
              <w:rPr>
                <w:sz w:val="20"/>
                <w:szCs w:val="20"/>
              </w:rPr>
              <w:t>0.019*</w:t>
            </w:r>
          </w:p>
        </w:tc>
        <w:tc>
          <w:tcPr>
            <w:tcW w:w="1138" w:type="dxa"/>
            <w:noWrap/>
            <w:hideMark/>
          </w:tcPr>
          <w:p w:rsidR="00B851ED" w:rsidRPr="00B851ED" w:rsidRDefault="00B851ED">
            <w:pPr>
              <w:rPr>
                <w:sz w:val="20"/>
                <w:szCs w:val="20"/>
              </w:rPr>
            </w:pPr>
            <w:r w:rsidRPr="00EB01D8">
              <w:rPr>
                <w:sz w:val="20"/>
                <w:szCs w:val="20"/>
              </w:rPr>
              <w:t>-0.008</w:t>
            </w:r>
          </w:p>
        </w:tc>
        <w:tc>
          <w:tcPr>
            <w:tcW w:w="1138" w:type="dxa"/>
            <w:noWrap/>
            <w:hideMark/>
          </w:tcPr>
          <w:p w:rsidR="00B851ED" w:rsidRPr="00B851ED" w:rsidRDefault="00B851ED">
            <w:pPr>
              <w:rPr>
                <w:sz w:val="20"/>
                <w:szCs w:val="20"/>
              </w:rPr>
            </w:pPr>
            <w:r w:rsidRPr="00EB01D8">
              <w:rPr>
                <w:sz w:val="20"/>
                <w:szCs w:val="20"/>
              </w:rPr>
              <w:t>0.010</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(0.866)</w:t>
            </w:r>
          </w:p>
        </w:tc>
        <w:tc>
          <w:tcPr>
            <w:tcW w:w="1138" w:type="dxa"/>
            <w:noWrap/>
            <w:hideMark/>
          </w:tcPr>
          <w:p w:rsidR="00B851ED" w:rsidRPr="00B851ED" w:rsidRDefault="00B851ED" w:rsidP="00B851ED">
            <w:pPr>
              <w:rPr>
                <w:sz w:val="20"/>
                <w:szCs w:val="20"/>
              </w:rPr>
            </w:pPr>
            <w:r w:rsidRPr="00EB01D8">
              <w:rPr>
                <w:sz w:val="20"/>
                <w:szCs w:val="20"/>
              </w:rPr>
              <w:t>(1.657)</w:t>
            </w:r>
          </w:p>
        </w:tc>
        <w:tc>
          <w:tcPr>
            <w:tcW w:w="1138" w:type="dxa"/>
            <w:noWrap/>
            <w:hideMark/>
          </w:tcPr>
          <w:p w:rsidR="00B851ED" w:rsidRPr="00B851ED" w:rsidRDefault="00B851ED" w:rsidP="00B851ED">
            <w:pPr>
              <w:rPr>
                <w:sz w:val="20"/>
                <w:szCs w:val="20"/>
              </w:rPr>
            </w:pPr>
            <w:r w:rsidRPr="00EB01D8">
              <w:rPr>
                <w:sz w:val="20"/>
                <w:szCs w:val="20"/>
              </w:rPr>
              <w:t>(0.812)</w:t>
            </w:r>
          </w:p>
        </w:tc>
        <w:tc>
          <w:tcPr>
            <w:tcW w:w="1138" w:type="dxa"/>
            <w:noWrap/>
            <w:hideMark/>
          </w:tcPr>
          <w:p w:rsidR="00B851ED" w:rsidRPr="00B851ED" w:rsidRDefault="00B851ED">
            <w:pPr>
              <w:rPr>
                <w:sz w:val="20"/>
                <w:szCs w:val="20"/>
              </w:rPr>
            </w:pPr>
            <w:r w:rsidRPr="00EB01D8">
              <w:rPr>
                <w:sz w:val="20"/>
                <w:szCs w:val="20"/>
              </w:rPr>
              <w:t>(1.700)</w:t>
            </w:r>
          </w:p>
        </w:tc>
        <w:tc>
          <w:tcPr>
            <w:tcW w:w="1138" w:type="dxa"/>
            <w:noWrap/>
            <w:hideMark/>
          </w:tcPr>
          <w:p w:rsidR="00B851ED" w:rsidRPr="00B851ED" w:rsidRDefault="00B851ED">
            <w:pPr>
              <w:rPr>
                <w:sz w:val="20"/>
                <w:szCs w:val="20"/>
              </w:rPr>
            </w:pPr>
            <w:r w:rsidRPr="00EB01D8">
              <w:rPr>
                <w:sz w:val="20"/>
                <w:szCs w:val="20"/>
              </w:rPr>
              <w:t>(-0.721)</w:t>
            </w:r>
          </w:p>
        </w:tc>
        <w:tc>
          <w:tcPr>
            <w:tcW w:w="1138" w:type="dxa"/>
            <w:noWrap/>
            <w:hideMark/>
          </w:tcPr>
          <w:p w:rsidR="00B851ED" w:rsidRPr="00B851ED" w:rsidRDefault="00B851ED">
            <w:pPr>
              <w:rPr>
                <w:sz w:val="20"/>
                <w:szCs w:val="20"/>
              </w:rPr>
            </w:pPr>
            <w:r w:rsidRPr="00EB01D8">
              <w:rPr>
                <w:sz w:val="20"/>
                <w:szCs w:val="20"/>
              </w:rPr>
              <w:t>(0.858)</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D&amp;O Pct</w:t>
            </w:r>
          </w:p>
        </w:tc>
        <w:tc>
          <w:tcPr>
            <w:tcW w:w="1138" w:type="dxa"/>
            <w:noWrap/>
            <w:hideMark/>
          </w:tcPr>
          <w:p w:rsidR="00B851ED" w:rsidRPr="00B851ED" w:rsidRDefault="00B851ED" w:rsidP="00B851ED">
            <w:pPr>
              <w:rPr>
                <w:sz w:val="20"/>
                <w:szCs w:val="20"/>
              </w:rPr>
            </w:pPr>
            <w:r w:rsidRPr="00EB01D8">
              <w:rPr>
                <w:sz w:val="20"/>
                <w:szCs w:val="20"/>
              </w:rPr>
              <w:t>0.100</w:t>
            </w:r>
          </w:p>
        </w:tc>
        <w:tc>
          <w:tcPr>
            <w:tcW w:w="1138" w:type="dxa"/>
            <w:noWrap/>
            <w:hideMark/>
          </w:tcPr>
          <w:p w:rsidR="00B851ED" w:rsidRPr="00B851ED" w:rsidRDefault="00B851ED" w:rsidP="00B851ED">
            <w:pPr>
              <w:rPr>
                <w:sz w:val="20"/>
                <w:szCs w:val="20"/>
              </w:rPr>
            </w:pPr>
            <w:r w:rsidRPr="00EB01D8">
              <w:rPr>
                <w:sz w:val="20"/>
                <w:szCs w:val="20"/>
              </w:rPr>
              <w:t>0.077</w:t>
            </w:r>
          </w:p>
        </w:tc>
        <w:tc>
          <w:tcPr>
            <w:tcW w:w="1138" w:type="dxa"/>
            <w:noWrap/>
            <w:hideMark/>
          </w:tcPr>
          <w:p w:rsidR="00B851ED" w:rsidRPr="00B851ED" w:rsidRDefault="00B851ED" w:rsidP="00B851ED">
            <w:pPr>
              <w:rPr>
                <w:sz w:val="20"/>
                <w:szCs w:val="20"/>
              </w:rPr>
            </w:pPr>
            <w:r w:rsidRPr="00EB01D8">
              <w:rPr>
                <w:sz w:val="20"/>
                <w:szCs w:val="20"/>
              </w:rPr>
              <w:t>0.098</w:t>
            </w:r>
          </w:p>
        </w:tc>
        <w:tc>
          <w:tcPr>
            <w:tcW w:w="1138" w:type="dxa"/>
            <w:noWrap/>
            <w:hideMark/>
          </w:tcPr>
          <w:p w:rsidR="00B851ED" w:rsidRPr="00B851ED" w:rsidRDefault="00B851ED">
            <w:pPr>
              <w:rPr>
                <w:sz w:val="20"/>
                <w:szCs w:val="20"/>
              </w:rPr>
            </w:pPr>
            <w:r w:rsidRPr="00EB01D8">
              <w:rPr>
                <w:sz w:val="20"/>
                <w:szCs w:val="20"/>
              </w:rPr>
              <w:t>0.082</w:t>
            </w:r>
          </w:p>
        </w:tc>
        <w:tc>
          <w:tcPr>
            <w:tcW w:w="1138" w:type="dxa"/>
            <w:noWrap/>
            <w:hideMark/>
          </w:tcPr>
          <w:p w:rsidR="00B851ED" w:rsidRPr="00B851ED" w:rsidRDefault="00B851ED">
            <w:pPr>
              <w:rPr>
                <w:sz w:val="20"/>
                <w:szCs w:val="20"/>
              </w:rPr>
            </w:pPr>
            <w:r w:rsidRPr="00EB01D8">
              <w:rPr>
                <w:sz w:val="20"/>
                <w:szCs w:val="20"/>
              </w:rPr>
              <w:t>0.054</w:t>
            </w:r>
          </w:p>
        </w:tc>
        <w:tc>
          <w:tcPr>
            <w:tcW w:w="1138" w:type="dxa"/>
            <w:noWrap/>
            <w:hideMark/>
          </w:tcPr>
          <w:p w:rsidR="00B851ED" w:rsidRPr="00B851ED" w:rsidRDefault="00B851ED">
            <w:pPr>
              <w:rPr>
                <w:sz w:val="20"/>
                <w:szCs w:val="20"/>
              </w:rPr>
            </w:pPr>
            <w:r w:rsidRPr="00EB01D8">
              <w:rPr>
                <w:sz w:val="20"/>
                <w:szCs w:val="20"/>
              </w:rPr>
              <w:t>0.106</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(1.602)</w:t>
            </w:r>
          </w:p>
        </w:tc>
        <w:tc>
          <w:tcPr>
            <w:tcW w:w="1138" w:type="dxa"/>
            <w:noWrap/>
            <w:hideMark/>
          </w:tcPr>
          <w:p w:rsidR="00B851ED" w:rsidRPr="00B851ED" w:rsidRDefault="00B851ED" w:rsidP="00B851ED">
            <w:pPr>
              <w:rPr>
                <w:sz w:val="20"/>
                <w:szCs w:val="20"/>
              </w:rPr>
            </w:pPr>
            <w:r w:rsidRPr="00EB01D8">
              <w:rPr>
                <w:sz w:val="20"/>
                <w:szCs w:val="20"/>
              </w:rPr>
              <w:t>(1.322)</w:t>
            </w:r>
          </w:p>
        </w:tc>
        <w:tc>
          <w:tcPr>
            <w:tcW w:w="1138" w:type="dxa"/>
            <w:noWrap/>
            <w:hideMark/>
          </w:tcPr>
          <w:p w:rsidR="00B851ED" w:rsidRPr="00B851ED" w:rsidRDefault="00B851ED" w:rsidP="00B851ED">
            <w:pPr>
              <w:rPr>
                <w:sz w:val="20"/>
                <w:szCs w:val="20"/>
              </w:rPr>
            </w:pPr>
            <w:r w:rsidRPr="00EB01D8">
              <w:rPr>
                <w:sz w:val="20"/>
                <w:szCs w:val="20"/>
              </w:rPr>
              <w:t>(1.595)</w:t>
            </w:r>
          </w:p>
        </w:tc>
        <w:tc>
          <w:tcPr>
            <w:tcW w:w="1138" w:type="dxa"/>
            <w:noWrap/>
            <w:hideMark/>
          </w:tcPr>
          <w:p w:rsidR="00B851ED" w:rsidRPr="00B851ED" w:rsidRDefault="00B851ED">
            <w:pPr>
              <w:rPr>
                <w:sz w:val="20"/>
                <w:szCs w:val="20"/>
              </w:rPr>
            </w:pPr>
            <w:r w:rsidRPr="00EB01D8">
              <w:rPr>
                <w:sz w:val="20"/>
                <w:szCs w:val="20"/>
              </w:rPr>
              <w:t>(1.438)</w:t>
            </w:r>
          </w:p>
        </w:tc>
        <w:tc>
          <w:tcPr>
            <w:tcW w:w="1138" w:type="dxa"/>
            <w:noWrap/>
            <w:hideMark/>
          </w:tcPr>
          <w:p w:rsidR="00B851ED" w:rsidRPr="00B851ED" w:rsidRDefault="00B851ED">
            <w:pPr>
              <w:rPr>
                <w:sz w:val="20"/>
                <w:szCs w:val="20"/>
              </w:rPr>
            </w:pPr>
            <w:r w:rsidRPr="00EB01D8">
              <w:rPr>
                <w:sz w:val="20"/>
                <w:szCs w:val="20"/>
              </w:rPr>
              <w:t>(0.648)</w:t>
            </w:r>
          </w:p>
        </w:tc>
        <w:tc>
          <w:tcPr>
            <w:tcW w:w="1138" w:type="dxa"/>
            <w:noWrap/>
            <w:hideMark/>
          </w:tcPr>
          <w:p w:rsidR="00B851ED" w:rsidRPr="00B851ED" w:rsidRDefault="00B851ED">
            <w:pPr>
              <w:rPr>
                <w:sz w:val="20"/>
                <w:szCs w:val="20"/>
              </w:rPr>
            </w:pPr>
            <w:r w:rsidRPr="00EB01D8">
              <w:rPr>
                <w:sz w:val="20"/>
                <w:szCs w:val="20"/>
              </w:rPr>
              <w:t>(1.256)</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Log Current Comp</w:t>
            </w:r>
          </w:p>
        </w:tc>
        <w:tc>
          <w:tcPr>
            <w:tcW w:w="1138" w:type="dxa"/>
            <w:noWrap/>
            <w:hideMark/>
          </w:tcPr>
          <w:p w:rsidR="00B851ED" w:rsidRPr="00B851ED" w:rsidRDefault="00B851ED" w:rsidP="00B851ED">
            <w:pPr>
              <w:rPr>
                <w:sz w:val="20"/>
                <w:szCs w:val="20"/>
              </w:rPr>
            </w:pPr>
            <w:r w:rsidRPr="00EB01D8">
              <w:rPr>
                <w:sz w:val="20"/>
                <w:szCs w:val="20"/>
              </w:rPr>
              <w:t>0.039***</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0.039***</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0.063***</w:t>
            </w: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(5.246)</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(5.129)</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(5.265)</w:t>
            </w: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Fwd Comp Pct</w:t>
            </w:r>
          </w:p>
        </w:tc>
        <w:tc>
          <w:tcPr>
            <w:tcW w:w="1138" w:type="dxa"/>
            <w:noWrap/>
            <w:hideMark/>
          </w:tcPr>
          <w:p w:rsidR="00B851ED" w:rsidRPr="00B851ED" w:rsidRDefault="00B851ED" w:rsidP="00B851ED">
            <w:pPr>
              <w:rPr>
                <w:sz w:val="20"/>
                <w:szCs w:val="20"/>
              </w:rPr>
            </w:pPr>
            <w:r w:rsidRPr="00EB01D8">
              <w:rPr>
                <w:sz w:val="20"/>
                <w:szCs w:val="20"/>
              </w:rPr>
              <w:t>0.087***</w:t>
            </w:r>
          </w:p>
        </w:tc>
        <w:tc>
          <w:tcPr>
            <w:tcW w:w="1138" w:type="dxa"/>
            <w:noWrap/>
            <w:hideMark/>
          </w:tcPr>
          <w:p w:rsidR="00B851ED" w:rsidRPr="00B851ED" w:rsidRDefault="00B851ED" w:rsidP="00B851ED">
            <w:pPr>
              <w:rPr>
                <w:sz w:val="20"/>
                <w:szCs w:val="20"/>
              </w:rPr>
            </w:pPr>
            <w:r w:rsidRPr="00EB01D8">
              <w:rPr>
                <w:sz w:val="20"/>
                <w:szCs w:val="20"/>
              </w:rPr>
              <w:t>0.085***</w:t>
            </w:r>
          </w:p>
        </w:tc>
        <w:tc>
          <w:tcPr>
            <w:tcW w:w="1138" w:type="dxa"/>
            <w:noWrap/>
            <w:hideMark/>
          </w:tcPr>
          <w:p w:rsidR="00B851ED" w:rsidRPr="00B851ED" w:rsidRDefault="00B851ED" w:rsidP="00B851ED">
            <w:pPr>
              <w:rPr>
                <w:sz w:val="20"/>
                <w:szCs w:val="20"/>
              </w:rPr>
            </w:pPr>
            <w:r w:rsidRPr="00EB01D8">
              <w:rPr>
                <w:sz w:val="20"/>
                <w:szCs w:val="20"/>
              </w:rPr>
              <w:t>0.086***</w:t>
            </w:r>
          </w:p>
        </w:tc>
        <w:tc>
          <w:tcPr>
            <w:tcW w:w="1138" w:type="dxa"/>
            <w:noWrap/>
            <w:hideMark/>
          </w:tcPr>
          <w:p w:rsidR="00B851ED" w:rsidRPr="00B851ED" w:rsidRDefault="00B851ED">
            <w:pPr>
              <w:rPr>
                <w:sz w:val="20"/>
                <w:szCs w:val="20"/>
              </w:rPr>
            </w:pPr>
            <w:r w:rsidRPr="00EB01D8">
              <w:rPr>
                <w:sz w:val="20"/>
                <w:szCs w:val="20"/>
              </w:rPr>
              <w:t>0.086***</w:t>
            </w:r>
          </w:p>
        </w:tc>
        <w:tc>
          <w:tcPr>
            <w:tcW w:w="1138" w:type="dxa"/>
            <w:noWrap/>
            <w:hideMark/>
          </w:tcPr>
          <w:p w:rsidR="00B851ED" w:rsidRPr="00B851ED" w:rsidRDefault="00B851ED">
            <w:pPr>
              <w:rPr>
                <w:sz w:val="20"/>
                <w:szCs w:val="20"/>
              </w:rPr>
            </w:pPr>
            <w:r w:rsidRPr="00EB01D8">
              <w:rPr>
                <w:sz w:val="20"/>
                <w:szCs w:val="20"/>
              </w:rPr>
              <w:t>0.096**</w:t>
            </w:r>
          </w:p>
        </w:tc>
        <w:tc>
          <w:tcPr>
            <w:tcW w:w="1138" w:type="dxa"/>
            <w:noWrap/>
            <w:hideMark/>
          </w:tcPr>
          <w:p w:rsidR="00B851ED" w:rsidRPr="00B851ED" w:rsidRDefault="00B851ED">
            <w:pPr>
              <w:rPr>
                <w:sz w:val="20"/>
                <w:szCs w:val="20"/>
              </w:rPr>
            </w:pPr>
            <w:r w:rsidRPr="00EB01D8">
              <w:rPr>
                <w:sz w:val="20"/>
                <w:szCs w:val="20"/>
              </w:rPr>
              <w:t>0.058</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(3.146)</w:t>
            </w:r>
          </w:p>
        </w:tc>
        <w:tc>
          <w:tcPr>
            <w:tcW w:w="1138" w:type="dxa"/>
            <w:noWrap/>
            <w:hideMark/>
          </w:tcPr>
          <w:p w:rsidR="00B851ED" w:rsidRPr="00B851ED" w:rsidRDefault="00B851ED" w:rsidP="00B851ED">
            <w:pPr>
              <w:rPr>
                <w:sz w:val="20"/>
                <w:szCs w:val="20"/>
              </w:rPr>
            </w:pPr>
            <w:r w:rsidRPr="00EB01D8">
              <w:rPr>
                <w:sz w:val="20"/>
                <w:szCs w:val="20"/>
              </w:rPr>
              <w:t>(2.905)</w:t>
            </w:r>
          </w:p>
        </w:tc>
        <w:tc>
          <w:tcPr>
            <w:tcW w:w="1138" w:type="dxa"/>
            <w:noWrap/>
            <w:hideMark/>
          </w:tcPr>
          <w:p w:rsidR="00B851ED" w:rsidRPr="00B851ED" w:rsidRDefault="00B851ED" w:rsidP="00B851ED">
            <w:pPr>
              <w:rPr>
                <w:sz w:val="20"/>
                <w:szCs w:val="20"/>
              </w:rPr>
            </w:pPr>
            <w:r w:rsidRPr="00EB01D8">
              <w:rPr>
                <w:sz w:val="20"/>
                <w:szCs w:val="20"/>
              </w:rPr>
              <w:t>(3.010)</w:t>
            </w:r>
          </w:p>
        </w:tc>
        <w:tc>
          <w:tcPr>
            <w:tcW w:w="1138" w:type="dxa"/>
            <w:noWrap/>
            <w:hideMark/>
          </w:tcPr>
          <w:p w:rsidR="00B851ED" w:rsidRPr="00B851ED" w:rsidRDefault="00B851ED">
            <w:pPr>
              <w:rPr>
                <w:sz w:val="20"/>
                <w:szCs w:val="20"/>
              </w:rPr>
            </w:pPr>
            <w:r w:rsidRPr="00EB01D8">
              <w:rPr>
                <w:sz w:val="20"/>
                <w:szCs w:val="20"/>
              </w:rPr>
              <w:t>(2.880)</w:t>
            </w:r>
          </w:p>
        </w:tc>
        <w:tc>
          <w:tcPr>
            <w:tcW w:w="1138" w:type="dxa"/>
            <w:noWrap/>
            <w:hideMark/>
          </w:tcPr>
          <w:p w:rsidR="00B851ED" w:rsidRPr="00B851ED" w:rsidRDefault="00B851ED">
            <w:pPr>
              <w:rPr>
                <w:sz w:val="20"/>
                <w:szCs w:val="20"/>
              </w:rPr>
            </w:pPr>
            <w:r w:rsidRPr="00EB01D8">
              <w:rPr>
                <w:sz w:val="20"/>
                <w:szCs w:val="20"/>
              </w:rPr>
              <w:t>(2.149)</w:t>
            </w:r>
          </w:p>
        </w:tc>
        <w:tc>
          <w:tcPr>
            <w:tcW w:w="1138" w:type="dxa"/>
            <w:noWrap/>
            <w:hideMark/>
          </w:tcPr>
          <w:p w:rsidR="00B851ED" w:rsidRPr="00B851ED" w:rsidRDefault="00B851ED">
            <w:pPr>
              <w:rPr>
                <w:sz w:val="20"/>
                <w:szCs w:val="20"/>
              </w:rPr>
            </w:pPr>
            <w:r w:rsidRPr="00EB01D8">
              <w:rPr>
                <w:sz w:val="20"/>
                <w:szCs w:val="20"/>
              </w:rPr>
              <w:t>(1.262)</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Leverage</w:t>
            </w:r>
          </w:p>
        </w:tc>
        <w:tc>
          <w:tcPr>
            <w:tcW w:w="1138" w:type="dxa"/>
            <w:noWrap/>
            <w:hideMark/>
          </w:tcPr>
          <w:p w:rsidR="00B851ED" w:rsidRPr="00B851ED" w:rsidRDefault="00B851ED" w:rsidP="00B851ED">
            <w:pPr>
              <w:rPr>
                <w:sz w:val="20"/>
                <w:szCs w:val="20"/>
              </w:rPr>
            </w:pPr>
            <w:r w:rsidRPr="00EB01D8">
              <w:rPr>
                <w:sz w:val="20"/>
                <w:szCs w:val="20"/>
              </w:rPr>
              <w:t>-0.140***</w:t>
            </w:r>
          </w:p>
        </w:tc>
        <w:tc>
          <w:tcPr>
            <w:tcW w:w="1138" w:type="dxa"/>
            <w:noWrap/>
            <w:hideMark/>
          </w:tcPr>
          <w:p w:rsidR="00B851ED" w:rsidRPr="00B851ED" w:rsidRDefault="00B851ED" w:rsidP="00B851ED">
            <w:pPr>
              <w:rPr>
                <w:sz w:val="20"/>
                <w:szCs w:val="20"/>
              </w:rPr>
            </w:pPr>
            <w:r w:rsidRPr="00EB01D8">
              <w:rPr>
                <w:sz w:val="20"/>
                <w:szCs w:val="20"/>
              </w:rPr>
              <w:t>-0.092**</w:t>
            </w:r>
          </w:p>
        </w:tc>
        <w:tc>
          <w:tcPr>
            <w:tcW w:w="1138" w:type="dxa"/>
            <w:noWrap/>
            <w:hideMark/>
          </w:tcPr>
          <w:p w:rsidR="00B851ED" w:rsidRPr="00B851ED" w:rsidRDefault="00B851ED" w:rsidP="00B851ED">
            <w:pPr>
              <w:rPr>
                <w:sz w:val="20"/>
                <w:szCs w:val="20"/>
              </w:rPr>
            </w:pPr>
            <w:r w:rsidRPr="00EB01D8">
              <w:rPr>
                <w:sz w:val="20"/>
                <w:szCs w:val="20"/>
              </w:rPr>
              <w:t>-0.150***</w:t>
            </w:r>
          </w:p>
        </w:tc>
        <w:tc>
          <w:tcPr>
            <w:tcW w:w="1138" w:type="dxa"/>
            <w:noWrap/>
            <w:hideMark/>
          </w:tcPr>
          <w:p w:rsidR="00B851ED" w:rsidRPr="00B851ED" w:rsidRDefault="00B851ED">
            <w:pPr>
              <w:rPr>
                <w:sz w:val="20"/>
                <w:szCs w:val="20"/>
              </w:rPr>
            </w:pPr>
            <w:r w:rsidRPr="00EB01D8">
              <w:rPr>
                <w:sz w:val="20"/>
                <w:szCs w:val="20"/>
              </w:rPr>
              <w:t>-0.103**</w:t>
            </w:r>
          </w:p>
        </w:tc>
        <w:tc>
          <w:tcPr>
            <w:tcW w:w="1138" w:type="dxa"/>
            <w:noWrap/>
            <w:hideMark/>
          </w:tcPr>
          <w:p w:rsidR="00B851ED" w:rsidRPr="00B851ED" w:rsidRDefault="00B851ED">
            <w:pPr>
              <w:rPr>
                <w:sz w:val="20"/>
                <w:szCs w:val="20"/>
              </w:rPr>
            </w:pPr>
            <w:r w:rsidRPr="00EB01D8">
              <w:rPr>
                <w:sz w:val="20"/>
                <w:szCs w:val="20"/>
              </w:rPr>
              <w:t>0.077</w:t>
            </w:r>
          </w:p>
        </w:tc>
        <w:tc>
          <w:tcPr>
            <w:tcW w:w="1138" w:type="dxa"/>
            <w:noWrap/>
            <w:hideMark/>
          </w:tcPr>
          <w:p w:rsidR="00B851ED" w:rsidRPr="00B851ED" w:rsidRDefault="00B851ED">
            <w:pPr>
              <w:rPr>
                <w:sz w:val="20"/>
                <w:szCs w:val="20"/>
              </w:rPr>
            </w:pPr>
            <w:r w:rsidRPr="00EB01D8">
              <w:rPr>
                <w:sz w:val="20"/>
                <w:szCs w:val="20"/>
              </w:rPr>
              <w:t>-0.068</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(-2.830)</w:t>
            </w:r>
          </w:p>
        </w:tc>
        <w:tc>
          <w:tcPr>
            <w:tcW w:w="1138" w:type="dxa"/>
            <w:noWrap/>
            <w:hideMark/>
          </w:tcPr>
          <w:p w:rsidR="00B851ED" w:rsidRPr="00B851ED" w:rsidRDefault="00B851ED" w:rsidP="00B851ED">
            <w:pPr>
              <w:rPr>
                <w:sz w:val="20"/>
                <w:szCs w:val="20"/>
              </w:rPr>
            </w:pPr>
            <w:r w:rsidRPr="00EB01D8">
              <w:rPr>
                <w:sz w:val="20"/>
                <w:szCs w:val="20"/>
              </w:rPr>
              <w:t>(-2.019)</w:t>
            </w:r>
          </w:p>
        </w:tc>
        <w:tc>
          <w:tcPr>
            <w:tcW w:w="1138" w:type="dxa"/>
            <w:noWrap/>
            <w:hideMark/>
          </w:tcPr>
          <w:p w:rsidR="00B851ED" w:rsidRPr="00B851ED" w:rsidRDefault="00B851ED" w:rsidP="00B851ED">
            <w:pPr>
              <w:rPr>
                <w:sz w:val="20"/>
                <w:szCs w:val="20"/>
              </w:rPr>
            </w:pPr>
            <w:r w:rsidRPr="00EB01D8">
              <w:rPr>
                <w:sz w:val="20"/>
                <w:szCs w:val="20"/>
              </w:rPr>
              <w:t>(-2.979)</w:t>
            </w:r>
          </w:p>
        </w:tc>
        <w:tc>
          <w:tcPr>
            <w:tcW w:w="1138" w:type="dxa"/>
            <w:noWrap/>
            <w:hideMark/>
          </w:tcPr>
          <w:p w:rsidR="00B851ED" w:rsidRPr="00B851ED" w:rsidRDefault="00B851ED">
            <w:pPr>
              <w:rPr>
                <w:sz w:val="20"/>
                <w:szCs w:val="20"/>
              </w:rPr>
            </w:pPr>
            <w:r w:rsidRPr="00EB01D8">
              <w:rPr>
                <w:sz w:val="20"/>
                <w:szCs w:val="20"/>
              </w:rPr>
              <w:t>(-2.237)</w:t>
            </w:r>
          </w:p>
        </w:tc>
        <w:tc>
          <w:tcPr>
            <w:tcW w:w="1138" w:type="dxa"/>
            <w:noWrap/>
            <w:hideMark/>
          </w:tcPr>
          <w:p w:rsidR="00B851ED" w:rsidRPr="00B851ED" w:rsidRDefault="00B851ED">
            <w:pPr>
              <w:rPr>
                <w:sz w:val="20"/>
                <w:szCs w:val="20"/>
              </w:rPr>
            </w:pPr>
            <w:r w:rsidRPr="00EB01D8">
              <w:rPr>
                <w:sz w:val="20"/>
                <w:szCs w:val="20"/>
              </w:rPr>
              <w:t>(0.761)</w:t>
            </w:r>
          </w:p>
        </w:tc>
        <w:tc>
          <w:tcPr>
            <w:tcW w:w="1138" w:type="dxa"/>
            <w:noWrap/>
            <w:hideMark/>
          </w:tcPr>
          <w:p w:rsidR="00B851ED" w:rsidRPr="00B851ED" w:rsidRDefault="00B851ED">
            <w:pPr>
              <w:rPr>
                <w:sz w:val="20"/>
                <w:szCs w:val="20"/>
              </w:rPr>
            </w:pPr>
            <w:r w:rsidRPr="00EB01D8">
              <w:rPr>
                <w:sz w:val="20"/>
                <w:szCs w:val="20"/>
              </w:rPr>
              <w:t>(-0.722)</w:t>
            </w:r>
          </w:p>
        </w:tc>
      </w:tr>
      <w:tr w:rsidR="00B851ED" w:rsidRPr="00B851ED" w:rsidTr="00EB01D8">
        <w:trPr>
          <w:trHeight w:val="255"/>
        </w:trPr>
        <w:tc>
          <w:tcPr>
            <w:tcW w:w="1843" w:type="dxa"/>
            <w:noWrap/>
            <w:hideMark/>
          </w:tcPr>
          <w:p w:rsidR="008B6B0C" w:rsidRPr="00B851ED" w:rsidRDefault="008B6B0C" w:rsidP="00A612AD">
            <w:pPr>
              <w:rPr>
                <w:rFonts w:eastAsia="Times New Roman"/>
                <w:sz w:val="20"/>
                <w:szCs w:val="20"/>
              </w:rPr>
            </w:pPr>
          </w:p>
          <w:p w:rsidR="008B6B0C" w:rsidRPr="00B851ED" w:rsidRDefault="008B6B0C" w:rsidP="00A612AD">
            <w:pPr>
              <w:rPr>
                <w:rFonts w:eastAsia="Times New Roman"/>
                <w:i/>
                <w:sz w:val="20"/>
                <w:szCs w:val="20"/>
              </w:rPr>
            </w:pPr>
            <w:r w:rsidRPr="00B851ED">
              <w:rPr>
                <w:rFonts w:eastAsia="Times New Roman"/>
                <w:i/>
                <w:sz w:val="20"/>
                <w:szCs w:val="20"/>
              </w:rPr>
              <w:t>Controls</w:t>
            </w:r>
          </w:p>
        </w:tc>
        <w:tc>
          <w:tcPr>
            <w:tcW w:w="1138" w:type="dxa"/>
            <w:noWrap/>
            <w:hideMark/>
          </w:tcPr>
          <w:p w:rsidR="008B6B0C" w:rsidRPr="00B851ED" w:rsidRDefault="008B6B0C" w:rsidP="00B851ED">
            <w:pPr>
              <w:rPr>
                <w:rFonts w:eastAsia="Times New Roman"/>
                <w:sz w:val="20"/>
                <w:szCs w:val="20"/>
              </w:rPr>
            </w:pPr>
          </w:p>
        </w:tc>
        <w:tc>
          <w:tcPr>
            <w:tcW w:w="1138" w:type="dxa"/>
            <w:noWrap/>
            <w:hideMark/>
          </w:tcPr>
          <w:p w:rsidR="008B6B0C" w:rsidRPr="00B851ED" w:rsidRDefault="008B6B0C">
            <w:pPr>
              <w:rPr>
                <w:rFonts w:eastAsia="Times New Roman"/>
                <w:sz w:val="20"/>
                <w:szCs w:val="20"/>
              </w:rPr>
            </w:pPr>
          </w:p>
        </w:tc>
        <w:tc>
          <w:tcPr>
            <w:tcW w:w="1138" w:type="dxa"/>
            <w:noWrap/>
            <w:hideMark/>
          </w:tcPr>
          <w:p w:rsidR="008B6B0C" w:rsidRPr="00B851ED" w:rsidRDefault="008B6B0C">
            <w:pPr>
              <w:rPr>
                <w:rFonts w:eastAsia="Times New Roman"/>
                <w:sz w:val="20"/>
                <w:szCs w:val="20"/>
              </w:rPr>
            </w:pPr>
          </w:p>
        </w:tc>
        <w:tc>
          <w:tcPr>
            <w:tcW w:w="1138" w:type="dxa"/>
            <w:noWrap/>
            <w:hideMark/>
          </w:tcPr>
          <w:p w:rsidR="008B6B0C" w:rsidRPr="00B851ED" w:rsidRDefault="008B6B0C">
            <w:pPr>
              <w:rPr>
                <w:rFonts w:eastAsia="Times New Roman"/>
                <w:sz w:val="20"/>
                <w:szCs w:val="20"/>
              </w:rPr>
            </w:pPr>
          </w:p>
        </w:tc>
        <w:tc>
          <w:tcPr>
            <w:tcW w:w="1138" w:type="dxa"/>
            <w:noWrap/>
            <w:hideMark/>
          </w:tcPr>
          <w:p w:rsidR="008B6B0C" w:rsidRPr="00B851ED" w:rsidRDefault="008B6B0C">
            <w:pPr>
              <w:rPr>
                <w:rFonts w:eastAsia="Times New Roman"/>
                <w:sz w:val="20"/>
                <w:szCs w:val="20"/>
              </w:rPr>
            </w:pPr>
          </w:p>
        </w:tc>
        <w:tc>
          <w:tcPr>
            <w:tcW w:w="1138" w:type="dxa"/>
            <w:noWrap/>
            <w:hideMark/>
          </w:tcPr>
          <w:p w:rsidR="008B6B0C" w:rsidRPr="00B851ED" w:rsidRDefault="008B6B0C">
            <w:pPr>
              <w:rPr>
                <w:rFonts w:eastAsia="Times New Roman"/>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Liquidity</w:t>
            </w:r>
          </w:p>
        </w:tc>
        <w:tc>
          <w:tcPr>
            <w:tcW w:w="1138" w:type="dxa"/>
            <w:noWrap/>
            <w:hideMark/>
          </w:tcPr>
          <w:p w:rsidR="00B851ED" w:rsidRPr="00B851ED" w:rsidRDefault="00B851ED" w:rsidP="00B851ED">
            <w:pPr>
              <w:rPr>
                <w:sz w:val="20"/>
                <w:szCs w:val="20"/>
              </w:rPr>
            </w:pPr>
            <w:r w:rsidRPr="00EB01D8">
              <w:rPr>
                <w:sz w:val="20"/>
                <w:szCs w:val="20"/>
              </w:rPr>
              <w:t>0.092**</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0.097***</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0.095**</w:t>
            </w: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(2.521)</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(2.611)</w:t>
            </w:r>
          </w:p>
        </w:tc>
        <w:tc>
          <w:tcPr>
            <w:tcW w:w="1138" w:type="dxa"/>
            <w:noWrap/>
            <w:hideMark/>
          </w:tcPr>
          <w:p w:rsidR="00B851ED" w:rsidRPr="00B851ED" w:rsidRDefault="00B851ED">
            <w:pPr>
              <w:rPr>
                <w:sz w:val="20"/>
                <w:szCs w:val="20"/>
              </w:rPr>
            </w:pPr>
          </w:p>
        </w:tc>
        <w:tc>
          <w:tcPr>
            <w:tcW w:w="1138" w:type="dxa"/>
            <w:noWrap/>
            <w:hideMark/>
          </w:tcPr>
          <w:p w:rsidR="00B851ED" w:rsidRPr="00B851ED" w:rsidRDefault="00B851ED">
            <w:pPr>
              <w:rPr>
                <w:sz w:val="20"/>
                <w:szCs w:val="20"/>
              </w:rPr>
            </w:pPr>
            <w:r w:rsidRPr="00EB01D8">
              <w:rPr>
                <w:sz w:val="20"/>
                <w:szCs w:val="20"/>
              </w:rPr>
              <w:t>(2.080)</w:t>
            </w:r>
          </w:p>
        </w:tc>
        <w:tc>
          <w:tcPr>
            <w:tcW w:w="1138" w:type="dxa"/>
            <w:noWrap/>
            <w:hideMark/>
          </w:tcPr>
          <w:p w:rsidR="00B851ED" w:rsidRPr="00B851ED" w:rsidRDefault="00B851ED">
            <w:pPr>
              <w:rPr>
                <w:sz w:val="20"/>
                <w:szCs w:val="20"/>
              </w:rPr>
            </w:pP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Extreme Liquid</w:t>
            </w:r>
          </w:p>
        </w:tc>
        <w:tc>
          <w:tcPr>
            <w:tcW w:w="1138" w:type="dxa"/>
            <w:noWrap/>
            <w:hideMark/>
          </w:tcPr>
          <w:p w:rsidR="00B851ED" w:rsidRPr="00B851ED" w:rsidRDefault="00B851ED" w:rsidP="00B851ED">
            <w:pPr>
              <w:rPr>
                <w:sz w:val="20"/>
                <w:szCs w:val="20"/>
              </w:rPr>
            </w:pPr>
            <w:r w:rsidRPr="00EB01D8">
              <w:rPr>
                <w:sz w:val="20"/>
                <w:szCs w:val="20"/>
              </w:rPr>
              <w:t>-0.019</w:t>
            </w:r>
          </w:p>
        </w:tc>
        <w:tc>
          <w:tcPr>
            <w:tcW w:w="1138" w:type="dxa"/>
            <w:noWrap/>
            <w:hideMark/>
          </w:tcPr>
          <w:p w:rsidR="00B851ED" w:rsidRPr="00B851ED" w:rsidRDefault="00B851ED" w:rsidP="00B851ED">
            <w:pPr>
              <w:rPr>
                <w:sz w:val="20"/>
                <w:szCs w:val="20"/>
              </w:rPr>
            </w:pPr>
            <w:r w:rsidRPr="00EB01D8">
              <w:rPr>
                <w:sz w:val="20"/>
                <w:szCs w:val="20"/>
              </w:rPr>
              <w:t>-0.035</w:t>
            </w:r>
          </w:p>
        </w:tc>
        <w:tc>
          <w:tcPr>
            <w:tcW w:w="1138" w:type="dxa"/>
            <w:noWrap/>
            <w:hideMark/>
          </w:tcPr>
          <w:p w:rsidR="00B851ED" w:rsidRPr="00B851ED" w:rsidRDefault="00B851ED" w:rsidP="00B851ED">
            <w:pPr>
              <w:rPr>
                <w:sz w:val="20"/>
                <w:szCs w:val="20"/>
              </w:rPr>
            </w:pPr>
            <w:r w:rsidRPr="00EB01D8">
              <w:rPr>
                <w:sz w:val="20"/>
                <w:szCs w:val="20"/>
              </w:rPr>
              <w:t>-0.020</w:t>
            </w:r>
          </w:p>
        </w:tc>
        <w:tc>
          <w:tcPr>
            <w:tcW w:w="1138" w:type="dxa"/>
            <w:noWrap/>
            <w:hideMark/>
          </w:tcPr>
          <w:p w:rsidR="00B851ED" w:rsidRPr="00B851ED" w:rsidRDefault="00B851ED">
            <w:pPr>
              <w:rPr>
                <w:sz w:val="20"/>
                <w:szCs w:val="20"/>
              </w:rPr>
            </w:pPr>
            <w:r w:rsidRPr="00EB01D8">
              <w:rPr>
                <w:sz w:val="20"/>
                <w:szCs w:val="20"/>
              </w:rPr>
              <w:t>-0.035</w:t>
            </w:r>
          </w:p>
        </w:tc>
        <w:tc>
          <w:tcPr>
            <w:tcW w:w="1138" w:type="dxa"/>
            <w:noWrap/>
            <w:hideMark/>
          </w:tcPr>
          <w:p w:rsidR="00B851ED" w:rsidRPr="00B851ED" w:rsidRDefault="00B851ED">
            <w:pPr>
              <w:rPr>
                <w:sz w:val="20"/>
                <w:szCs w:val="20"/>
              </w:rPr>
            </w:pPr>
            <w:r w:rsidRPr="00EB01D8">
              <w:rPr>
                <w:sz w:val="20"/>
                <w:szCs w:val="20"/>
              </w:rPr>
              <w:t>-0.032</w:t>
            </w:r>
          </w:p>
        </w:tc>
        <w:tc>
          <w:tcPr>
            <w:tcW w:w="1138" w:type="dxa"/>
            <w:noWrap/>
            <w:hideMark/>
          </w:tcPr>
          <w:p w:rsidR="00B851ED" w:rsidRPr="00B851ED" w:rsidRDefault="00B851ED">
            <w:pPr>
              <w:rPr>
                <w:sz w:val="20"/>
                <w:szCs w:val="20"/>
              </w:rPr>
            </w:pPr>
            <w:r w:rsidRPr="00EB01D8">
              <w:rPr>
                <w:sz w:val="20"/>
                <w:szCs w:val="20"/>
              </w:rPr>
              <w:t>-0.029</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(-0.894)</w:t>
            </w:r>
          </w:p>
        </w:tc>
        <w:tc>
          <w:tcPr>
            <w:tcW w:w="1138" w:type="dxa"/>
            <w:noWrap/>
            <w:hideMark/>
          </w:tcPr>
          <w:p w:rsidR="00B851ED" w:rsidRPr="00B851ED" w:rsidRDefault="00B851ED" w:rsidP="00B851ED">
            <w:pPr>
              <w:rPr>
                <w:sz w:val="20"/>
                <w:szCs w:val="20"/>
              </w:rPr>
            </w:pPr>
            <w:r w:rsidRPr="00EB01D8">
              <w:rPr>
                <w:sz w:val="20"/>
                <w:szCs w:val="20"/>
              </w:rPr>
              <w:t>(-1.460)</w:t>
            </w:r>
          </w:p>
        </w:tc>
        <w:tc>
          <w:tcPr>
            <w:tcW w:w="1138" w:type="dxa"/>
            <w:noWrap/>
            <w:hideMark/>
          </w:tcPr>
          <w:p w:rsidR="00B851ED" w:rsidRPr="00B851ED" w:rsidRDefault="00B851ED" w:rsidP="00B851ED">
            <w:pPr>
              <w:rPr>
                <w:sz w:val="20"/>
                <w:szCs w:val="20"/>
              </w:rPr>
            </w:pPr>
            <w:r w:rsidRPr="00EB01D8">
              <w:rPr>
                <w:sz w:val="20"/>
                <w:szCs w:val="20"/>
              </w:rPr>
              <w:t>(-0.948)</w:t>
            </w:r>
          </w:p>
        </w:tc>
        <w:tc>
          <w:tcPr>
            <w:tcW w:w="1138" w:type="dxa"/>
            <w:noWrap/>
            <w:hideMark/>
          </w:tcPr>
          <w:p w:rsidR="00B851ED" w:rsidRPr="00B851ED" w:rsidRDefault="00B851ED">
            <w:pPr>
              <w:rPr>
                <w:sz w:val="20"/>
                <w:szCs w:val="20"/>
              </w:rPr>
            </w:pPr>
            <w:r w:rsidRPr="00EB01D8">
              <w:rPr>
                <w:sz w:val="20"/>
                <w:szCs w:val="20"/>
              </w:rPr>
              <w:t>(-1.436)</w:t>
            </w:r>
          </w:p>
        </w:tc>
        <w:tc>
          <w:tcPr>
            <w:tcW w:w="1138" w:type="dxa"/>
            <w:noWrap/>
            <w:hideMark/>
          </w:tcPr>
          <w:p w:rsidR="00B851ED" w:rsidRPr="00B851ED" w:rsidRDefault="00B851ED">
            <w:pPr>
              <w:rPr>
                <w:sz w:val="20"/>
                <w:szCs w:val="20"/>
              </w:rPr>
            </w:pPr>
            <w:r w:rsidRPr="00EB01D8">
              <w:rPr>
                <w:sz w:val="20"/>
                <w:szCs w:val="20"/>
              </w:rPr>
              <w:t>(-1.063)</w:t>
            </w:r>
          </w:p>
        </w:tc>
        <w:tc>
          <w:tcPr>
            <w:tcW w:w="1138" w:type="dxa"/>
            <w:noWrap/>
            <w:hideMark/>
          </w:tcPr>
          <w:p w:rsidR="00B851ED" w:rsidRPr="00B851ED" w:rsidRDefault="00B851ED">
            <w:pPr>
              <w:rPr>
                <w:sz w:val="20"/>
                <w:szCs w:val="20"/>
              </w:rPr>
            </w:pPr>
            <w:r w:rsidRPr="00EB01D8">
              <w:rPr>
                <w:sz w:val="20"/>
                <w:szCs w:val="20"/>
              </w:rPr>
              <w:t>(-0.915)</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Risk</w:t>
            </w:r>
          </w:p>
        </w:tc>
        <w:tc>
          <w:tcPr>
            <w:tcW w:w="1138" w:type="dxa"/>
            <w:noWrap/>
            <w:hideMark/>
          </w:tcPr>
          <w:p w:rsidR="00B851ED" w:rsidRPr="00B851ED" w:rsidRDefault="00B851ED" w:rsidP="00B851ED">
            <w:pPr>
              <w:rPr>
                <w:sz w:val="20"/>
                <w:szCs w:val="20"/>
              </w:rPr>
            </w:pPr>
            <w:r w:rsidRPr="00EB01D8">
              <w:rPr>
                <w:sz w:val="20"/>
                <w:szCs w:val="20"/>
              </w:rPr>
              <w:t>0.000</w:t>
            </w:r>
          </w:p>
        </w:tc>
        <w:tc>
          <w:tcPr>
            <w:tcW w:w="1138" w:type="dxa"/>
            <w:noWrap/>
            <w:hideMark/>
          </w:tcPr>
          <w:p w:rsidR="00B851ED" w:rsidRPr="00B851ED" w:rsidRDefault="00B851ED" w:rsidP="00B851ED">
            <w:pPr>
              <w:rPr>
                <w:sz w:val="20"/>
                <w:szCs w:val="20"/>
              </w:rPr>
            </w:pPr>
            <w:r w:rsidRPr="00EB01D8">
              <w:rPr>
                <w:sz w:val="20"/>
                <w:szCs w:val="20"/>
              </w:rPr>
              <w:t>-0.001</w:t>
            </w:r>
          </w:p>
        </w:tc>
        <w:tc>
          <w:tcPr>
            <w:tcW w:w="1138" w:type="dxa"/>
            <w:noWrap/>
            <w:hideMark/>
          </w:tcPr>
          <w:p w:rsidR="00B851ED" w:rsidRPr="00B851ED" w:rsidRDefault="00B851ED" w:rsidP="00B851ED">
            <w:pPr>
              <w:rPr>
                <w:sz w:val="20"/>
                <w:szCs w:val="20"/>
              </w:rPr>
            </w:pPr>
            <w:r w:rsidRPr="00EB01D8">
              <w:rPr>
                <w:sz w:val="20"/>
                <w:szCs w:val="20"/>
              </w:rPr>
              <w:t>0.000</w:t>
            </w:r>
          </w:p>
        </w:tc>
        <w:tc>
          <w:tcPr>
            <w:tcW w:w="1138" w:type="dxa"/>
            <w:noWrap/>
            <w:hideMark/>
          </w:tcPr>
          <w:p w:rsidR="00B851ED" w:rsidRPr="00B851ED" w:rsidRDefault="00B851ED">
            <w:pPr>
              <w:rPr>
                <w:sz w:val="20"/>
                <w:szCs w:val="20"/>
              </w:rPr>
            </w:pPr>
            <w:r w:rsidRPr="00EB01D8">
              <w:rPr>
                <w:sz w:val="20"/>
                <w:szCs w:val="20"/>
              </w:rPr>
              <w:t>-0.001</w:t>
            </w:r>
          </w:p>
        </w:tc>
        <w:tc>
          <w:tcPr>
            <w:tcW w:w="1138" w:type="dxa"/>
            <w:noWrap/>
            <w:hideMark/>
          </w:tcPr>
          <w:p w:rsidR="00B851ED" w:rsidRPr="00B851ED" w:rsidRDefault="00B851ED">
            <w:pPr>
              <w:rPr>
                <w:sz w:val="20"/>
                <w:szCs w:val="20"/>
              </w:rPr>
            </w:pPr>
            <w:r w:rsidRPr="00EB01D8">
              <w:rPr>
                <w:sz w:val="20"/>
                <w:szCs w:val="20"/>
              </w:rPr>
              <w:t>-0.002</w:t>
            </w:r>
          </w:p>
        </w:tc>
        <w:tc>
          <w:tcPr>
            <w:tcW w:w="1138" w:type="dxa"/>
            <w:noWrap/>
            <w:hideMark/>
          </w:tcPr>
          <w:p w:rsidR="00B851ED" w:rsidRPr="00B851ED" w:rsidRDefault="00B851ED">
            <w:pPr>
              <w:rPr>
                <w:sz w:val="20"/>
                <w:szCs w:val="20"/>
              </w:rPr>
            </w:pPr>
            <w:r w:rsidRPr="00EB01D8">
              <w:rPr>
                <w:sz w:val="20"/>
                <w:szCs w:val="20"/>
              </w:rPr>
              <w:t>-0.004</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(0.162)</w:t>
            </w:r>
          </w:p>
        </w:tc>
        <w:tc>
          <w:tcPr>
            <w:tcW w:w="1138" w:type="dxa"/>
            <w:noWrap/>
            <w:hideMark/>
          </w:tcPr>
          <w:p w:rsidR="00B851ED" w:rsidRPr="00B851ED" w:rsidRDefault="00B851ED" w:rsidP="00B851ED">
            <w:pPr>
              <w:rPr>
                <w:sz w:val="20"/>
                <w:szCs w:val="20"/>
              </w:rPr>
            </w:pPr>
            <w:r w:rsidRPr="00EB01D8">
              <w:rPr>
                <w:sz w:val="20"/>
                <w:szCs w:val="20"/>
              </w:rPr>
              <w:t>(-0.173)</w:t>
            </w:r>
          </w:p>
        </w:tc>
        <w:tc>
          <w:tcPr>
            <w:tcW w:w="1138" w:type="dxa"/>
            <w:noWrap/>
            <w:hideMark/>
          </w:tcPr>
          <w:p w:rsidR="00B851ED" w:rsidRPr="00B851ED" w:rsidRDefault="00B851ED" w:rsidP="00B851ED">
            <w:pPr>
              <w:rPr>
                <w:sz w:val="20"/>
                <w:szCs w:val="20"/>
              </w:rPr>
            </w:pPr>
            <w:r w:rsidRPr="00EB01D8">
              <w:rPr>
                <w:sz w:val="20"/>
                <w:szCs w:val="20"/>
              </w:rPr>
              <w:t>(0.179)</w:t>
            </w:r>
          </w:p>
        </w:tc>
        <w:tc>
          <w:tcPr>
            <w:tcW w:w="1138" w:type="dxa"/>
            <w:noWrap/>
            <w:hideMark/>
          </w:tcPr>
          <w:p w:rsidR="00B851ED" w:rsidRPr="00B851ED" w:rsidRDefault="00B851ED">
            <w:pPr>
              <w:rPr>
                <w:sz w:val="20"/>
                <w:szCs w:val="20"/>
              </w:rPr>
            </w:pPr>
            <w:r w:rsidRPr="00EB01D8">
              <w:rPr>
                <w:sz w:val="20"/>
                <w:szCs w:val="20"/>
              </w:rPr>
              <w:t>(-0.190)</w:t>
            </w:r>
          </w:p>
        </w:tc>
        <w:tc>
          <w:tcPr>
            <w:tcW w:w="1138" w:type="dxa"/>
            <w:noWrap/>
            <w:hideMark/>
          </w:tcPr>
          <w:p w:rsidR="00B851ED" w:rsidRPr="00B851ED" w:rsidRDefault="00B851ED">
            <w:pPr>
              <w:rPr>
                <w:sz w:val="20"/>
                <w:szCs w:val="20"/>
              </w:rPr>
            </w:pPr>
            <w:r w:rsidRPr="00EB01D8">
              <w:rPr>
                <w:sz w:val="20"/>
                <w:szCs w:val="20"/>
              </w:rPr>
              <w:t>(-0.647)</w:t>
            </w:r>
          </w:p>
        </w:tc>
        <w:tc>
          <w:tcPr>
            <w:tcW w:w="1138" w:type="dxa"/>
            <w:noWrap/>
            <w:hideMark/>
          </w:tcPr>
          <w:p w:rsidR="00B851ED" w:rsidRPr="00B851ED" w:rsidRDefault="00B851ED">
            <w:pPr>
              <w:rPr>
                <w:sz w:val="20"/>
                <w:szCs w:val="20"/>
              </w:rPr>
            </w:pPr>
            <w:r w:rsidRPr="00EB01D8">
              <w:rPr>
                <w:sz w:val="20"/>
                <w:szCs w:val="20"/>
              </w:rPr>
              <w:t>(-1.224)</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Size</w:t>
            </w:r>
          </w:p>
        </w:tc>
        <w:tc>
          <w:tcPr>
            <w:tcW w:w="1138" w:type="dxa"/>
            <w:noWrap/>
            <w:hideMark/>
          </w:tcPr>
          <w:p w:rsidR="00B851ED" w:rsidRPr="00B851ED" w:rsidRDefault="00B851ED" w:rsidP="00B851ED">
            <w:pPr>
              <w:rPr>
                <w:sz w:val="20"/>
                <w:szCs w:val="20"/>
              </w:rPr>
            </w:pPr>
            <w:r w:rsidRPr="00EB01D8">
              <w:rPr>
                <w:sz w:val="20"/>
                <w:szCs w:val="20"/>
              </w:rPr>
              <w:t>-0.022***</w:t>
            </w:r>
          </w:p>
        </w:tc>
        <w:tc>
          <w:tcPr>
            <w:tcW w:w="1138" w:type="dxa"/>
            <w:noWrap/>
            <w:hideMark/>
          </w:tcPr>
          <w:p w:rsidR="00B851ED" w:rsidRPr="00B851ED" w:rsidRDefault="00B851ED" w:rsidP="00B851ED">
            <w:pPr>
              <w:rPr>
                <w:sz w:val="20"/>
                <w:szCs w:val="20"/>
              </w:rPr>
            </w:pPr>
            <w:r w:rsidRPr="00EB01D8">
              <w:rPr>
                <w:sz w:val="20"/>
                <w:szCs w:val="20"/>
              </w:rPr>
              <w:t>-0.013**</w:t>
            </w:r>
          </w:p>
        </w:tc>
        <w:tc>
          <w:tcPr>
            <w:tcW w:w="1138" w:type="dxa"/>
            <w:noWrap/>
            <w:hideMark/>
          </w:tcPr>
          <w:p w:rsidR="00B851ED" w:rsidRPr="00B851ED" w:rsidRDefault="00B851ED" w:rsidP="00B851ED">
            <w:pPr>
              <w:rPr>
                <w:sz w:val="20"/>
                <w:szCs w:val="20"/>
              </w:rPr>
            </w:pPr>
            <w:r w:rsidRPr="00EB01D8">
              <w:rPr>
                <w:sz w:val="20"/>
                <w:szCs w:val="20"/>
              </w:rPr>
              <w:t>-0.023***</w:t>
            </w:r>
          </w:p>
        </w:tc>
        <w:tc>
          <w:tcPr>
            <w:tcW w:w="1138" w:type="dxa"/>
            <w:noWrap/>
            <w:hideMark/>
          </w:tcPr>
          <w:p w:rsidR="00B851ED" w:rsidRPr="00B851ED" w:rsidRDefault="00B851ED">
            <w:pPr>
              <w:rPr>
                <w:sz w:val="20"/>
                <w:szCs w:val="20"/>
              </w:rPr>
            </w:pPr>
            <w:r w:rsidRPr="00EB01D8">
              <w:rPr>
                <w:sz w:val="20"/>
                <w:szCs w:val="20"/>
              </w:rPr>
              <w:t>-0.014**</w:t>
            </w:r>
          </w:p>
        </w:tc>
        <w:tc>
          <w:tcPr>
            <w:tcW w:w="1138" w:type="dxa"/>
            <w:noWrap/>
            <w:hideMark/>
          </w:tcPr>
          <w:p w:rsidR="00B851ED" w:rsidRPr="00B851ED" w:rsidRDefault="00B851ED">
            <w:pPr>
              <w:rPr>
                <w:sz w:val="20"/>
                <w:szCs w:val="20"/>
              </w:rPr>
            </w:pPr>
            <w:r w:rsidRPr="00EB01D8">
              <w:rPr>
                <w:sz w:val="20"/>
                <w:szCs w:val="20"/>
              </w:rPr>
              <w:t>-0.054***</w:t>
            </w:r>
          </w:p>
        </w:tc>
        <w:tc>
          <w:tcPr>
            <w:tcW w:w="1138" w:type="dxa"/>
            <w:noWrap/>
            <w:hideMark/>
          </w:tcPr>
          <w:p w:rsidR="00B851ED" w:rsidRPr="00B851ED" w:rsidRDefault="00B851ED">
            <w:pPr>
              <w:rPr>
                <w:sz w:val="20"/>
                <w:szCs w:val="20"/>
              </w:rPr>
            </w:pPr>
            <w:r w:rsidRPr="00EB01D8">
              <w:rPr>
                <w:sz w:val="20"/>
                <w:szCs w:val="20"/>
              </w:rPr>
              <w:t>-0.028*</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(-3.417)</w:t>
            </w:r>
          </w:p>
        </w:tc>
        <w:tc>
          <w:tcPr>
            <w:tcW w:w="1138" w:type="dxa"/>
            <w:noWrap/>
            <w:hideMark/>
          </w:tcPr>
          <w:p w:rsidR="00B851ED" w:rsidRPr="00B851ED" w:rsidRDefault="00B851ED" w:rsidP="00B851ED">
            <w:pPr>
              <w:rPr>
                <w:sz w:val="20"/>
                <w:szCs w:val="20"/>
              </w:rPr>
            </w:pPr>
            <w:r w:rsidRPr="00EB01D8">
              <w:rPr>
                <w:sz w:val="20"/>
                <w:szCs w:val="20"/>
              </w:rPr>
              <w:t>(-2.081)</w:t>
            </w:r>
          </w:p>
        </w:tc>
        <w:tc>
          <w:tcPr>
            <w:tcW w:w="1138" w:type="dxa"/>
            <w:noWrap/>
            <w:hideMark/>
          </w:tcPr>
          <w:p w:rsidR="00B851ED" w:rsidRPr="00B851ED" w:rsidRDefault="00B851ED" w:rsidP="00B851ED">
            <w:pPr>
              <w:rPr>
                <w:sz w:val="20"/>
                <w:szCs w:val="20"/>
              </w:rPr>
            </w:pPr>
            <w:r w:rsidRPr="00EB01D8">
              <w:rPr>
                <w:sz w:val="20"/>
                <w:szCs w:val="20"/>
              </w:rPr>
              <w:t>(-3.335)</w:t>
            </w:r>
          </w:p>
        </w:tc>
        <w:tc>
          <w:tcPr>
            <w:tcW w:w="1138" w:type="dxa"/>
            <w:noWrap/>
            <w:hideMark/>
          </w:tcPr>
          <w:p w:rsidR="00B851ED" w:rsidRPr="00B851ED" w:rsidRDefault="00B851ED">
            <w:pPr>
              <w:rPr>
                <w:sz w:val="20"/>
                <w:szCs w:val="20"/>
              </w:rPr>
            </w:pPr>
            <w:r w:rsidRPr="00EB01D8">
              <w:rPr>
                <w:sz w:val="20"/>
                <w:szCs w:val="20"/>
              </w:rPr>
              <w:t>(-2.098)</w:t>
            </w:r>
          </w:p>
        </w:tc>
        <w:tc>
          <w:tcPr>
            <w:tcW w:w="1138" w:type="dxa"/>
            <w:noWrap/>
            <w:hideMark/>
          </w:tcPr>
          <w:p w:rsidR="00B851ED" w:rsidRPr="00B851ED" w:rsidRDefault="00B851ED">
            <w:pPr>
              <w:rPr>
                <w:sz w:val="20"/>
                <w:szCs w:val="20"/>
              </w:rPr>
            </w:pPr>
            <w:r w:rsidRPr="00EB01D8">
              <w:rPr>
                <w:sz w:val="20"/>
                <w:szCs w:val="20"/>
              </w:rPr>
              <w:t>(-3.186)</w:t>
            </w:r>
          </w:p>
        </w:tc>
        <w:tc>
          <w:tcPr>
            <w:tcW w:w="1138" w:type="dxa"/>
            <w:noWrap/>
            <w:hideMark/>
          </w:tcPr>
          <w:p w:rsidR="00B851ED" w:rsidRPr="00B851ED" w:rsidRDefault="00B851ED">
            <w:pPr>
              <w:rPr>
                <w:sz w:val="20"/>
                <w:szCs w:val="20"/>
              </w:rPr>
            </w:pPr>
            <w:r w:rsidRPr="00EB01D8">
              <w:rPr>
                <w:sz w:val="20"/>
                <w:szCs w:val="20"/>
              </w:rPr>
              <w:t>(-1.848)</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Focus</w:t>
            </w:r>
          </w:p>
        </w:tc>
        <w:tc>
          <w:tcPr>
            <w:tcW w:w="1138" w:type="dxa"/>
            <w:noWrap/>
            <w:hideMark/>
          </w:tcPr>
          <w:p w:rsidR="00B851ED" w:rsidRPr="00B851ED" w:rsidRDefault="00B851ED" w:rsidP="00B851ED">
            <w:pPr>
              <w:rPr>
                <w:sz w:val="20"/>
                <w:szCs w:val="20"/>
              </w:rPr>
            </w:pPr>
            <w:r w:rsidRPr="00EB01D8">
              <w:rPr>
                <w:sz w:val="20"/>
                <w:szCs w:val="20"/>
              </w:rPr>
              <w:t>0.024**</w:t>
            </w:r>
          </w:p>
        </w:tc>
        <w:tc>
          <w:tcPr>
            <w:tcW w:w="1138" w:type="dxa"/>
            <w:noWrap/>
            <w:hideMark/>
          </w:tcPr>
          <w:p w:rsidR="00B851ED" w:rsidRPr="00B851ED" w:rsidRDefault="00B851ED" w:rsidP="00B851ED">
            <w:pPr>
              <w:rPr>
                <w:sz w:val="20"/>
                <w:szCs w:val="20"/>
              </w:rPr>
            </w:pPr>
            <w:r w:rsidRPr="00EB01D8">
              <w:rPr>
                <w:sz w:val="20"/>
                <w:szCs w:val="20"/>
              </w:rPr>
              <w:t>0.021*</w:t>
            </w:r>
          </w:p>
        </w:tc>
        <w:tc>
          <w:tcPr>
            <w:tcW w:w="1138" w:type="dxa"/>
            <w:noWrap/>
            <w:hideMark/>
          </w:tcPr>
          <w:p w:rsidR="00B851ED" w:rsidRPr="00B851ED" w:rsidRDefault="00B851ED" w:rsidP="00B851ED">
            <w:pPr>
              <w:rPr>
                <w:sz w:val="20"/>
                <w:szCs w:val="20"/>
              </w:rPr>
            </w:pPr>
            <w:r w:rsidRPr="00EB01D8">
              <w:rPr>
                <w:sz w:val="20"/>
                <w:szCs w:val="20"/>
              </w:rPr>
              <w:t>0.024**</w:t>
            </w:r>
          </w:p>
        </w:tc>
        <w:tc>
          <w:tcPr>
            <w:tcW w:w="1138" w:type="dxa"/>
            <w:noWrap/>
            <w:hideMark/>
          </w:tcPr>
          <w:p w:rsidR="00B851ED" w:rsidRPr="00B851ED" w:rsidRDefault="00B851ED">
            <w:pPr>
              <w:rPr>
                <w:sz w:val="20"/>
                <w:szCs w:val="20"/>
              </w:rPr>
            </w:pPr>
            <w:r w:rsidRPr="00EB01D8">
              <w:rPr>
                <w:sz w:val="20"/>
                <w:szCs w:val="20"/>
              </w:rPr>
              <w:t>0.022*</w:t>
            </w:r>
          </w:p>
        </w:tc>
        <w:tc>
          <w:tcPr>
            <w:tcW w:w="1138" w:type="dxa"/>
            <w:noWrap/>
            <w:hideMark/>
          </w:tcPr>
          <w:p w:rsidR="00B851ED" w:rsidRPr="00B851ED" w:rsidRDefault="00B851ED">
            <w:pPr>
              <w:rPr>
                <w:sz w:val="20"/>
                <w:szCs w:val="20"/>
              </w:rPr>
            </w:pPr>
            <w:r w:rsidRPr="00EB01D8">
              <w:rPr>
                <w:sz w:val="20"/>
                <w:szCs w:val="20"/>
              </w:rPr>
              <w:t>-0.022</w:t>
            </w:r>
          </w:p>
        </w:tc>
        <w:tc>
          <w:tcPr>
            <w:tcW w:w="1138" w:type="dxa"/>
            <w:noWrap/>
            <w:hideMark/>
          </w:tcPr>
          <w:p w:rsidR="00B851ED" w:rsidRPr="00B851ED" w:rsidRDefault="00B851ED">
            <w:pPr>
              <w:rPr>
                <w:sz w:val="20"/>
                <w:szCs w:val="20"/>
              </w:rPr>
            </w:pPr>
            <w:r w:rsidRPr="00EB01D8">
              <w:rPr>
                <w:sz w:val="20"/>
                <w:szCs w:val="20"/>
              </w:rPr>
              <w:t>-0.037</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(2.035)</w:t>
            </w:r>
          </w:p>
        </w:tc>
        <w:tc>
          <w:tcPr>
            <w:tcW w:w="1138" w:type="dxa"/>
            <w:noWrap/>
            <w:hideMark/>
          </w:tcPr>
          <w:p w:rsidR="00B851ED" w:rsidRPr="00B851ED" w:rsidRDefault="00B851ED" w:rsidP="00B851ED">
            <w:pPr>
              <w:rPr>
                <w:sz w:val="20"/>
                <w:szCs w:val="20"/>
              </w:rPr>
            </w:pPr>
            <w:r w:rsidRPr="00EB01D8">
              <w:rPr>
                <w:sz w:val="20"/>
                <w:szCs w:val="20"/>
              </w:rPr>
              <w:t>(1.724)</w:t>
            </w:r>
          </w:p>
        </w:tc>
        <w:tc>
          <w:tcPr>
            <w:tcW w:w="1138" w:type="dxa"/>
            <w:noWrap/>
            <w:hideMark/>
          </w:tcPr>
          <w:p w:rsidR="00B851ED" w:rsidRPr="00B851ED" w:rsidRDefault="00B851ED" w:rsidP="00B851ED">
            <w:pPr>
              <w:rPr>
                <w:sz w:val="20"/>
                <w:szCs w:val="20"/>
              </w:rPr>
            </w:pPr>
            <w:r w:rsidRPr="00EB01D8">
              <w:rPr>
                <w:sz w:val="20"/>
                <w:szCs w:val="20"/>
              </w:rPr>
              <w:t>(1.970)</w:t>
            </w:r>
          </w:p>
        </w:tc>
        <w:tc>
          <w:tcPr>
            <w:tcW w:w="1138" w:type="dxa"/>
            <w:noWrap/>
            <w:hideMark/>
          </w:tcPr>
          <w:p w:rsidR="00B851ED" w:rsidRPr="00B851ED" w:rsidRDefault="00B851ED">
            <w:pPr>
              <w:rPr>
                <w:sz w:val="20"/>
                <w:szCs w:val="20"/>
              </w:rPr>
            </w:pPr>
            <w:r w:rsidRPr="00EB01D8">
              <w:rPr>
                <w:sz w:val="20"/>
                <w:szCs w:val="20"/>
              </w:rPr>
              <w:t>(1.714)</w:t>
            </w:r>
          </w:p>
        </w:tc>
        <w:tc>
          <w:tcPr>
            <w:tcW w:w="1138" w:type="dxa"/>
            <w:noWrap/>
            <w:hideMark/>
          </w:tcPr>
          <w:p w:rsidR="00B851ED" w:rsidRPr="00B851ED" w:rsidRDefault="00B851ED">
            <w:pPr>
              <w:rPr>
                <w:sz w:val="20"/>
                <w:szCs w:val="20"/>
              </w:rPr>
            </w:pPr>
            <w:r w:rsidRPr="00EB01D8">
              <w:rPr>
                <w:sz w:val="20"/>
                <w:szCs w:val="20"/>
              </w:rPr>
              <w:t>(-0.925)</w:t>
            </w:r>
          </w:p>
        </w:tc>
        <w:tc>
          <w:tcPr>
            <w:tcW w:w="1138" w:type="dxa"/>
            <w:noWrap/>
            <w:hideMark/>
          </w:tcPr>
          <w:p w:rsidR="00B851ED" w:rsidRPr="00B851ED" w:rsidRDefault="00B851ED">
            <w:pPr>
              <w:rPr>
                <w:sz w:val="20"/>
                <w:szCs w:val="20"/>
              </w:rPr>
            </w:pPr>
            <w:r w:rsidRPr="00EB01D8">
              <w:rPr>
                <w:sz w:val="20"/>
                <w:szCs w:val="20"/>
              </w:rPr>
              <w:t>(-1.375)</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r w:rsidRPr="00B851ED">
              <w:rPr>
                <w:rFonts w:eastAsia="Times New Roman"/>
                <w:sz w:val="20"/>
                <w:szCs w:val="20"/>
              </w:rPr>
              <w:t>Constant</w:t>
            </w:r>
          </w:p>
        </w:tc>
        <w:tc>
          <w:tcPr>
            <w:tcW w:w="1138" w:type="dxa"/>
            <w:noWrap/>
            <w:hideMark/>
          </w:tcPr>
          <w:p w:rsidR="00B851ED" w:rsidRPr="00B851ED" w:rsidRDefault="00B851ED" w:rsidP="00B851ED">
            <w:pPr>
              <w:rPr>
                <w:sz w:val="20"/>
                <w:szCs w:val="20"/>
              </w:rPr>
            </w:pPr>
            <w:r w:rsidRPr="00EB01D8">
              <w:rPr>
                <w:sz w:val="20"/>
                <w:szCs w:val="20"/>
              </w:rPr>
              <w:t>0.109*</w:t>
            </w:r>
          </w:p>
        </w:tc>
        <w:tc>
          <w:tcPr>
            <w:tcW w:w="1138" w:type="dxa"/>
            <w:noWrap/>
            <w:hideMark/>
          </w:tcPr>
          <w:p w:rsidR="00B851ED" w:rsidRPr="00B851ED" w:rsidRDefault="00B851ED" w:rsidP="00B851ED">
            <w:pPr>
              <w:rPr>
                <w:sz w:val="20"/>
                <w:szCs w:val="20"/>
              </w:rPr>
            </w:pPr>
            <w:r w:rsidRPr="00EB01D8">
              <w:rPr>
                <w:sz w:val="20"/>
                <w:szCs w:val="20"/>
              </w:rPr>
              <w:t>0.308***</w:t>
            </w:r>
          </w:p>
        </w:tc>
        <w:tc>
          <w:tcPr>
            <w:tcW w:w="1138" w:type="dxa"/>
            <w:noWrap/>
            <w:hideMark/>
          </w:tcPr>
          <w:p w:rsidR="00B851ED" w:rsidRPr="00B851ED" w:rsidRDefault="00B851ED" w:rsidP="00B851ED">
            <w:pPr>
              <w:rPr>
                <w:sz w:val="20"/>
                <w:szCs w:val="20"/>
              </w:rPr>
            </w:pPr>
            <w:r w:rsidRPr="00EB01D8">
              <w:rPr>
                <w:sz w:val="20"/>
                <w:szCs w:val="20"/>
              </w:rPr>
              <w:t>0.128*</w:t>
            </w:r>
          </w:p>
        </w:tc>
        <w:tc>
          <w:tcPr>
            <w:tcW w:w="1138" w:type="dxa"/>
            <w:noWrap/>
            <w:hideMark/>
          </w:tcPr>
          <w:p w:rsidR="00B851ED" w:rsidRPr="00B851ED" w:rsidRDefault="00B851ED">
            <w:pPr>
              <w:rPr>
                <w:sz w:val="20"/>
                <w:szCs w:val="20"/>
              </w:rPr>
            </w:pPr>
            <w:r w:rsidRPr="00EB01D8">
              <w:rPr>
                <w:sz w:val="20"/>
                <w:szCs w:val="20"/>
              </w:rPr>
              <w:t>0.332***</w:t>
            </w:r>
          </w:p>
        </w:tc>
        <w:tc>
          <w:tcPr>
            <w:tcW w:w="1138" w:type="dxa"/>
            <w:noWrap/>
            <w:hideMark/>
          </w:tcPr>
          <w:p w:rsidR="00B851ED" w:rsidRPr="00B851ED" w:rsidRDefault="00B851ED">
            <w:pPr>
              <w:rPr>
                <w:sz w:val="20"/>
                <w:szCs w:val="20"/>
              </w:rPr>
            </w:pPr>
            <w:r w:rsidRPr="00EB01D8">
              <w:rPr>
                <w:sz w:val="20"/>
                <w:szCs w:val="20"/>
              </w:rPr>
              <w:t>0.055</w:t>
            </w:r>
          </w:p>
        </w:tc>
        <w:tc>
          <w:tcPr>
            <w:tcW w:w="1138" w:type="dxa"/>
            <w:noWrap/>
            <w:hideMark/>
          </w:tcPr>
          <w:p w:rsidR="00B851ED" w:rsidRPr="00B851ED" w:rsidRDefault="00B851ED">
            <w:pPr>
              <w:rPr>
                <w:sz w:val="20"/>
                <w:szCs w:val="20"/>
              </w:rPr>
            </w:pPr>
            <w:r w:rsidRPr="00EB01D8">
              <w:rPr>
                <w:sz w:val="20"/>
                <w:szCs w:val="20"/>
              </w:rPr>
              <w:t>0.472***</w:t>
            </w:r>
          </w:p>
        </w:tc>
      </w:tr>
      <w:tr w:rsidR="00B851ED" w:rsidRPr="00B851ED" w:rsidTr="00EB01D8">
        <w:trPr>
          <w:trHeight w:val="255"/>
        </w:trPr>
        <w:tc>
          <w:tcPr>
            <w:tcW w:w="1843" w:type="dxa"/>
            <w:noWrap/>
            <w:hideMark/>
          </w:tcPr>
          <w:p w:rsidR="00B851ED" w:rsidRPr="00B851ED" w:rsidRDefault="00B851ED" w:rsidP="00A612AD">
            <w:pPr>
              <w:rPr>
                <w:rFonts w:eastAsia="Times New Roman"/>
                <w:sz w:val="20"/>
                <w:szCs w:val="20"/>
              </w:rPr>
            </w:pPr>
          </w:p>
        </w:tc>
        <w:tc>
          <w:tcPr>
            <w:tcW w:w="1138" w:type="dxa"/>
            <w:noWrap/>
            <w:hideMark/>
          </w:tcPr>
          <w:p w:rsidR="00B851ED" w:rsidRPr="00B851ED" w:rsidRDefault="00B851ED" w:rsidP="00B851ED">
            <w:pPr>
              <w:rPr>
                <w:sz w:val="20"/>
                <w:szCs w:val="20"/>
              </w:rPr>
            </w:pPr>
            <w:r w:rsidRPr="00EB01D8">
              <w:rPr>
                <w:sz w:val="20"/>
                <w:szCs w:val="20"/>
              </w:rPr>
              <w:t>(1.771)</w:t>
            </w:r>
          </w:p>
        </w:tc>
        <w:tc>
          <w:tcPr>
            <w:tcW w:w="1138" w:type="dxa"/>
            <w:noWrap/>
            <w:hideMark/>
          </w:tcPr>
          <w:p w:rsidR="00B851ED" w:rsidRPr="00B851ED" w:rsidRDefault="00B851ED" w:rsidP="00B851ED">
            <w:pPr>
              <w:rPr>
                <w:sz w:val="20"/>
                <w:szCs w:val="20"/>
              </w:rPr>
            </w:pPr>
            <w:r w:rsidRPr="00EB01D8">
              <w:rPr>
                <w:sz w:val="20"/>
                <w:szCs w:val="20"/>
              </w:rPr>
              <w:t>(5.770)</w:t>
            </w:r>
          </w:p>
        </w:tc>
        <w:tc>
          <w:tcPr>
            <w:tcW w:w="1138" w:type="dxa"/>
            <w:noWrap/>
            <w:hideMark/>
          </w:tcPr>
          <w:p w:rsidR="00B851ED" w:rsidRPr="00B851ED" w:rsidRDefault="00B851ED" w:rsidP="00B851ED">
            <w:pPr>
              <w:rPr>
                <w:sz w:val="20"/>
                <w:szCs w:val="20"/>
              </w:rPr>
            </w:pPr>
            <w:r w:rsidRPr="00EB01D8">
              <w:rPr>
                <w:sz w:val="20"/>
                <w:szCs w:val="20"/>
              </w:rPr>
              <w:t>(1.868)</w:t>
            </w:r>
          </w:p>
        </w:tc>
        <w:tc>
          <w:tcPr>
            <w:tcW w:w="1138" w:type="dxa"/>
            <w:noWrap/>
            <w:hideMark/>
          </w:tcPr>
          <w:p w:rsidR="00B851ED" w:rsidRPr="00B851ED" w:rsidRDefault="00B851ED">
            <w:pPr>
              <w:rPr>
                <w:sz w:val="20"/>
                <w:szCs w:val="20"/>
              </w:rPr>
            </w:pPr>
            <w:r w:rsidRPr="00EB01D8">
              <w:rPr>
                <w:sz w:val="20"/>
                <w:szCs w:val="20"/>
              </w:rPr>
              <w:t>(5.541)</w:t>
            </w:r>
          </w:p>
        </w:tc>
        <w:tc>
          <w:tcPr>
            <w:tcW w:w="1138" w:type="dxa"/>
            <w:noWrap/>
            <w:hideMark/>
          </w:tcPr>
          <w:p w:rsidR="00B851ED" w:rsidRPr="00B851ED" w:rsidRDefault="00B851ED">
            <w:pPr>
              <w:rPr>
                <w:sz w:val="20"/>
                <w:szCs w:val="20"/>
              </w:rPr>
            </w:pPr>
            <w:r w:rsidRPr="00EB01D8">
              <w:rPr>
                <w:sz w:val="20"/>
                <w:szCs w:val="20"/>
              </w:rPr>
              <w:t>(0.650)</w:t>
            </w:r>
          </w:p>
        </w:tc>
        <w:tc>
          <w:tcPr>
            <w:tcW w:w="1138" w:type="dxa"/>
            <w:noWrap/>
            <w:hideMark/>
          </w:tcPr>
          <w:p w:rsidR="00B851ED" w:rsidRPr="00B851ED" w:rsidRDefault="00B851ED">
            <w:pPr>
              <w:rPr>
                <w:sz w:val="20"/>
                <w:szCs w:val="20"/>
              </w:rPr>
            </w:pPr>
            <w:r w:rsidRPr="00EB01D8">
              <w:rPr>
                <w:sz w:val="20"/>
                <w:szCs w:val="20"/>
              </w:rPr>
              <w:t>(5.249)</w:t>
            </w:r>
          </w:p>
        </w:tc>
      </w:tr>
      <w:tr w:rsidR="00B851ED" w:rsidRPr="00B851ED" w:rsidTr="00B851ED">
        <w:trPr>
          <w:trHeight w:val="255"/>
        </w:trPr>
        <w:tc>
          <w:tcPr>
            <w:tcW w:w="1843" w:type="dxa"/>
            <w:tcBorders>
              <w:bottom w:val="single" w:sz="4" w:space="0" w:color="auto"/>
            </w:tcBorders>
            <w:noWrap/>
            <w:hideMark/>
          </w:tcPr>
          <w:p w:rsidR="008B6B0C" w:rsidRPr="00B851ED" w:rsidRDefault="008B6B0C" w:rsidP="00A612AD">
            <w:pPr>
              <w:rPr>
                <w:rFonts w:eastAsia="Times New Roman"/>
                <w:sz w:val="20"/>
                <w:szCs w:val="20"/>
              </w:rPr>
            </w:pPr>
          </w:p>
        </w:tc>
        <w:tc>
          <w:tcPr>
            <w:tcW w:w="1138" w:type="dxa"/>
            <w:tcBorders>
              <w:bottom w:val="single" w:sz="4" w:space="0" w:color="auto"/>
            </w:tcBorders>
            <w:noWrap/>
            <w:hideMark/>
          </w:tcPr>
          <w:p w:rsidR="008B6B0C" w:rsidRPr="00B851ED" w:rsidRDefault="008B6B0C" w:rsidP="00B851ED">
            <w:pPr>
              <w:rPr>
                <w:rFonts w:eastAsia="Times New Roman"/>
                <w:sz w:val="20"/>
                <w:szCs w:val="20"/>
              </w:rPr>
            </w:pPr>
          </w:p>
        </w:tc>
        <w:tc>
          <w:tcPr>
            <w:tcW w:w="1138" w:type="dxa"/>
            <w:tcBorders>
              <w:bottom w:val="single" w:sz="4" w:space="0" w:color="auto"/>
            </w:tcBorders>
            <w:noWrap/>
            <w:hideMark/>
          </w:tcPr>
          <w:p w:rsidR="008B6B0C" w:rsidRPr="00B851ED" w:rsidRDefault="008B6B0C">
            <w:pPr>
              <w:rPr>
                <w:rFonts w:eastAsia="Times New Roman"/>
                <w:sz w:val="20"/>
                <w:szCs w:val="20"/>
              </w:rPr>
            </w:pPr>
          </w:p>
        </w:tc>
        <w:tc>
          <w:tcPr>
            <w:tcW w:w="1138" w:type="dxa"/>
            <w:tcBorders>
              <w:bottom w:val="single" w:sz="4" w:space="0" w:color="auto"/>
            </w:tcBorders>
            <w:noWrap/>
            <w:hideMark/>
          </w:tcPr>
          <w:p w:rsidR="008B6B0C" w:rsidRPr="00B851ED" w:rsidRDefault="008B6B0C">
            <w:pPr>
              <w:rPr>
                <w:rFonts w:eastAsia="Times New Roman"/>
                <w:sz w:val="20"/>
                <w:szCs w:val="20"/>
              </w:rPr>
            </w:pPr>
          </w:p>
        </w:tc>
        <w:tc>
          <w:tcPr>
            <w:tcW w:w="1138" w:type="dxa"/>
            <w:tcBorders>
              <w:bottom w:val="single" w:sz="4" w:space="0" w:color="auto"/>
            </w:tcBorders>
            <w:noWrap/>
            <w:hideMark/>
          </w:tcPr>
          <w:p w:rsidR="008B6B0C" w:rsidRPr="00B851ED" w:rsidRDefault="008B6B0C">
            <w:pPr>
              <w:rPr>
                <w:rFonts w:eastAsia="Times New Roman"/>
                <w:sz w:val="20"/>
                <w:szCs w:val="20"/>
              </w:rPr>
            </w:pPr>
          </w:p>
        </w:tc>
        <w:tc>
          <w:tcPr>
            <w:tcW w:w="1138" w:type="dxa"/>
            <w:tcBorders>
              <w:bottom w:val="single" w:sz="4" w:space="0" w:color="auto"/>
            </w:tcBorders>
            <w:noWrap/>
            <w:hideMark/>
          </w:tcPr>
          <w:p w:rsidR="008B6B0C" w:rsidRPr="00B851ED" w:rsidRDefault="008B6B0C">
            <w:pPr>
              <w:rPr>
                <w:rFonts w:eastAsia="Times New Roman"/>
                <w:sz w:val="20"/>
                <w:szCs w:val="20"/>
              </w:rPr>
            </w:pPr>
          </w:p>
        </w:tc>
        <w:tc>
          <w:tcPr>
            <w:tcW w:w="1138" w:type="dxa"/>
            <w:tcBorders>
              <w:bottom w:val="single" w:sz="4" w:space="0" w:color="auto"/>
            </w:tcBorders>
            <w:noWrap/>
            <w:hideMark/>
          </w:tcPr>
          <w:p w:rsidR="008B6B0C" w:rsidRPr="00B851ED" w:rsidRDefault="008B6B0C">
            <w:pPr>
              <w:rPr>
                <w:rFonts w:eastAsia="Times New Roman"/>
                <w:sz w:val="20"/>
                <w:szCs w:val="20"/>
              </w:rPr>
            </w:pPr>
          </w:p>
        </w:tc>
      </w:tr>
      <w:tr w:rsidR="00B851ED" w:rsidRPr="00B851ED" w:rsidTr="00EB01D8">
        <w:trPr>
          <w:trHeight w:val="255"/>
        </w:trPr>
        <w:tc>
          <w:tcPr>
            <w:tcW w:w="1843" w:type="dxa"/>
            <w:tcBorders>
              <w:top w:val="single" w:sz="4" w:space="0" w:color="auto"/>
              <w:bottom w:val="nil"/>
            </w:tcBorders>
            <w:noWrap/>
            <w:hideMark/>
          </w:tcPr>
          <w:p w:rsidR="00B851ED" w:rsidRPr="00B851ED" w:rsidRDefault="00B851ED" w:rsidP="00A612AD">
            <w:pPr>
              <w:rPr>
                <w:rFonts w:eastAsia="Times New Roman"/>
                <w:sz w:val="20"/>
                <w:szCs w:val="20"/>
              </w:rPr>
            </w:pPr>
            <w:r w:rsidRPr="00B851ED">
              <w:rPr>
                <w:rFonts w:eastAsia="Times New Roman"/>
                <w:sz w:val="20"/>
                <w:szCs w:val="20"/>
              </w:rPr>
              <w:t>Observations</w:t>
            </w:r>
          </w:p>
        </w:tc>
        <w:tc>
          <w:tcPr>
            <w:tcW w:w="1138" w:type="dxa"/>
            <w:tcBorders>
              <w:top w:val="single" w:sz="4" w:space="0" w:color="auto"/>
              <w:bottom w:val="nil"/>
            </w:tcBorders>
            <w:noWrap/>
            <w:hideMark/>
          </w:tcPr>
          <w:p w:rsidR="00B851ED" w:rsidRPr="00B851ED" w:rsidRDefault="00B851ED" w:rsidP="00B851ED">
            <w:pPr>
              <w:rPr>
                <w:sz w:val="20"/>
                <w:szCs w:val="20"/>
              </w:rPr>
            </w:pPr>
            <w:r w:rsidRPr="00EB01D8">
              <w:rPr>
                <w:sz w:val="20"/>
                <w:szCs w:val="20"/>
              </w:rPr>
              <w:t>618</w:t>
            </w:r>
          </w:p>
        </w:tc>
        <w:tc>
          <w:tcPr>
            <w:tcW w:w="1138" w:type="dxa"/>
            <w:tcBorders>
              <w:top w:val="single" w:sz="4" w:space="0" w:color="auto"/>
              <w:bottom w:val="nil"/>
            </w:tcBorders>
            <w:noWrap/>
            <w:hideMark/>
          </w:tcPr>
          <w:p w:rsidR="00B851ED" w:rsidRPr="00B851ED" w:rsidRDefault="00B851ED" w:rsidP="00B851ED">
            <w:pPr>
              <w:rPr>
                <w:sz w:val="20"/>
                <w:szCs w:val="20"/>
              </w:rPr>
            </w:pPr>
            <w:r w:rsidRPr="00EB01D8">
              <w:rPr>
                <w:sz w:val="20"/>
                <w:szCs w:val="20"/>
              </w:rPr>
              <w:t>618</w:t>
            </w:r>
          </w:p>
        </w:tc>
        <w:tc>
          <w:tcPr>
            <w:tcW w:w="1138" w:type="dxa"/>
            <w:tcBorders>
              <w:top w:val="single" w:sz="4" w:space="0" w:color="auto"/>
              <w:bottom w:val="nil"/>
            </w:tcBorders>
            <w:noWrap/>
            <w:hideMark/>
          </w:tcPr>
          <w:p w:rsidR="00B851ED" w:rsidRPr="00B851ED" w:rsidRDefault="00B851ED" w:rsidP="00B851ED">
            <w:pPr>
              <w:rPr>
                <w:sz w:val="20"/>
                <w:szCs w:val="20"/>
              </w:rPr>
            </w:pPr>
            <w:r w:rsidRPr="00EB01D8">
              <w:rPr>
                <w:sz w:val="20"/>
                <w:szCs w:val="20"/>
              </w:rPr>
              <w:t>582</w:t>
            </w:r>
          </w:p>
        </w:tc>
        <w:tc>
          <w:tcPr>
            <w:tcW w:w="1138" w:type="dxa"/>
            <w:tcBorders>
              <w:top w:val="single" w:sz="4" w:space="0" w:color="auto"/>
              <w:bottom w:val="nil"/>
            </w:tcBorders>
            <w:noWrap/>
            <w:hideMark/>
          </w:tcPr>
          <w:p w:rsidR="00B851ED" w:rsidRPr="00B851ED" w:rsidRDefault="00B851ED">
            <w:pPr>
              <w:rPr>
                <w:sz w:val="20"/>
                <w:szCs w:val="20"/>
              </w:rPr>
            </w:pPr>
            <w:r w:rsidRPr="00EB01D8">
              <w:rPr>
                <w:sz w:val="20"/>
                <w:szCs w:val="20"/>
              </w:rPr>
              <w:t>582</w:t>
            </w:r>
          </w:p>
        </w:tc>
        <w:tc>
          <w:tcPr>
            <w:tcW w:w="1138" w:type="dxa"/>
            <w:tcBorders>
              <w:top w:val="single" w:sz="4" w:space="0" w:color="auto"/>
              <w:bottom w:val="nil"/>
            </w:tcBorders>
            <w:noWrap/>
            <w:hideMark/>
          </w:tcPr>
          <w:p w:rsidR="00B851ED" w:rsidRPr="00B851ED" w:rsidRDefault="00B851ED">
            <w:pPr>
              <w:rPr>
                <w:sz w:val="20"/>
                <w:szCs w:val="20"/>
              </w:rPr>
            </w:pPr>
            <w:r w:rsidRPr="00EB01D8">
              <w:rPr>
                <w:sz w:val="20"/>
                <w:szCs w:val="20"/>
              </w:rPr>
              <w:t>378</w:t>
            </w:r>
          </w:p>
        </w:tc>
        <w:tc>
          <w:tcPr>
            <w:tcW w:w="1138" w:type="dxa"/>
            <w:tcBorders>
              <w:top w:val="single" w:sz="4" w:space="0" w:color="auto"/>
              <w:bottom w:val="nil"/>
            </w:tcBorders>
            <w:noWrap/>
            <w:hideMark/>
          </w:tcPr>
          <w:p w:rsidR="00B851ED" w:rsidRPr="00B851ED" w:rsidRDefault="00B851ED">
            <w:pPr>
              <w:rPr>
                <w:sz w:val="20"/>
                <w:szCs w:val="20"/>
              </w:rPr>
            </w:pPr>
            <w:r w:rsidRPr="00EB01D8">
              <w:rPr>
                <w:sz w:val="20"/>
                <w:szCs w:val="20"/>
              </w:rPr>
              <w:t>378</w:t>
            </w:r>
          </w:p>
        </w:tc>
      </w:tr>
      <w:tr w:rsidR="00B851ED" w:rsidRPr="00B851ED" w:rsidTr="00EB01D8">
        <w:trPr>
          <w:trHeight w:val="255"/>
        </w:trPr>
        <w:tc>
          <w:tcPr>
            <w:tcW w:w="1843" w:type="dxa"/>
            <w:tcBorders>
              <w:top w:val="nil"/>
            </w:tcBorders>
            <w:noWrap/>
            <w:hideMark/>
          </w:tcPr>
          <w:p w:rsidR="00B851ED" w:rsidRPr="00B851ED" w:rsidRDefault="00B851ED" w:rsidP="00A612AD">
            <w:pPr>
              <w:rPr>
                <w:rFonts w:eastAsia="Times New Roman"/>
                <w:sz w:val="20"/>
                <w:szCs w:val="20"/>
              </w:rPr>
            </w:pPr>
            <w:r w:rsidRPr="00B851ED">
              <w:rPr>
                <w:rFonts w:eastAsia="Times New Roman"/>
                <w:sz w:val="20"/>
                <w:szCs w:val="20"/>
              </w:rPr>
              <w:t>R-squared</w:t>
            </w:r>
          </w:p>
        </w:tc>
        <w:tc>
          <w:tcPr>
            <w:tcW w:w="1138" w:type="dxa"/>
            <w:tcBorders>
              <w:top w:val="nil"/>
            </w:tcBorders>
            <w:noWrap/>
            <w:hideMark/>
          </w:tcPr>
          <w:p w:rsidR="00B851ED" w:rsidRPr="00B851ED" w:rsidRDefault="00B851ED" w:rsidP="00B851ED">
            <w:pPr>
              <w:rPr>
                <w:sz w:val="20"/>
                <w:szCs w:val="20"/>
              </w:rPr>
            </w:pPr>
            <w:r w:rsidRPr="00EB01D8">
              <w:rPr>
                <w:sz w:val="20"/>
                <w:szCs w:val="20"/>
              </w:rPr>
              <w:t>0.257</w:t>
            </w:r>
          </w:p>
        </w:tc>
        <w:tc>
          <w:tcPr>
            <w:tcW w:w="1138" w:type="dxa"/>
            <w:tcBorders>
              <w:top w:val="nil"/>
            </w:tcBorders>
            <w:noWrap/>
            <w:hideMark/>
          </w:tcPr>
          <w:p w:rsidR="00B851ED" w:rsidRPr="00B851ED" w:rsidRDefault="00B851ED" w:rsidP="00B851ED">
            <w:pPr>
              <w:rPr>
                <w:sz w:val="20"/>
                <w:szCs w:val="20"/>
              </w:rPr>
            </w:pPr>
            <w:r w:rsidRPr="00EB01D8">
              <w:rPr>
                <w:sz w:val="20"/>
                <w:szCs w:val="20"/>
              </w:rPr>
              <w:t>0.191</w:t>
            </w:r>
          </w:p>
        </w:tc>
        <w:tc>
          <w:tcPr>
            <w:tcW w:w="1138" w:type="dxa"/>
            <w:tcBorders>
              <w:top w:val="nil"/>
            </w:tcBorders>
            <w:noWrap/>
            <w:hideMark/>
          </w:tcPr>
          <w:p w:rsidR="00B851ED" w:rsidRPr="00B851ED" w:rsidRDefault="00B851ED" w:rsidP="00B851ED">
            <w:pPr>
              <w:rPr>
                <w:sz w:val="20"/>
                <w:szCs w:val="20"/>
              </w:rPr>
            </w:pPr>
            <w:r w:rsidRPr="00EB01D8">
              <w:rPr>
                <w:sz w:val="20"/>
                <w:szCs w:val="20"/>
              </w:rPr>
              <w:t>0.263</w:t>
            </w:r>
          </w:p>
        </w:tc>
        <w:tc>
          <w:tcPr>
            <w:tcW w:w="1138" w:type="dxa"/>
            <w:tcBorders>
              <w:top w:val="nil"/>
            </w:tcBorders>
            <w:noWrap/>
            <w:hideMark/>
          </w:tcPr>
          <w:p w:rsidR="00B851ED" w:rsidRPr="00B851ED" w:rsidRDefault="00B851ED">
            <w:pPr>
              <w:rPr>
                <w:sz w:val="20"/>
                <w:szCs w:val="20"/>
              </w:rPr>
            </w:pPr>
            <w:r w:rsidRPr="00EB01D8">
              <w:rPr>
                <w:sz w:val="20"/>
                <w:szCs w:val="20"/>
              </w:rPr>
              <w:t>0.197</w:t>
            </w:r>
          </w:p>
        </w:tc>
        <w:tc>
          <w:tcPr>
            <w:tcW w:w="1138" w:type="dxa"/>
            <w:tcBorders>
              <w:top w:val="nil"/>
            </w:tcBorders>
            <w:noWrap/>
            <w:hideMark/>
          </w:tcPr>
          <w:p w:rsidR="00B851ED" w:rsidRPr="00B851ED" w:rsidRDefault="00B851ED">
            <w:pPr>
              <w:rPr>
                <w:sz w:val="20"/>
                <w:szCs w:val="20"/>
              </w:rPr>
            </w:pPr>
            <w:r w:rsidRPr="00EB01D8">
              <w:rPr>
                <w:sz w:val="20"/>
                <w:szCs w:val="20"/>
              </w:rPr>
              <w:t>0.312</w:t>
            </w:r>
          </w:p>
        </w:tc>
        <w:tc>
          <w:tcPr>
            <w:tcW w:w="1138" w:type="dxa"/>
            <w:tcBorders>
              <w:top w:val="nil"/>
            </w:tcBorders>
            <w:noWrap/>
            <w:hideMark/>
          </w:tcPr>
          <w:p w:rsidR="00B851ED" w:rsidRPr="00B851ED" w:rsidRDefault="00B851ED">
            <w:pPr>
              <w:rPr>
                <w:sz w:val="20"/>
                <w:szCs w:val="20"/>
              </w:rPr>
            </w:pPr>
            <w:r w:rsidRPr="00EB01D8">
              <w:rPr>
                <w:sz w:val="20"/>
                <w:szCs w:val="20"/>
              </w:rPr>
              <w:t>0.244</w:t>
            </w:r>
          </w:p>
        </w:tc>
      </w:tr>
    </w:tbl>
    <w:p w:rsidR="008B6B0C" w:rsidRPr="00ED093D" w:rsidRDefault="008B6B0C" w:rsidP="008B6B0C">
      <w:pPr>
        <w:jc w:val="both"/>
        <w:rPr>
          <w:sz w:val="20"/>
        </w:rPr>
      </w:pPr>
      <w:r w:rsidRPr="00ED093D">
        <w:rPr>
          <w:sz w:val="20"/>
        </w:rPr>
        <w:t>Numbers in parentheses below coefficients are t-statistics. *, **, and *** indicate significance at the 10%, 5%, and 1% levels, respectively.</w:t>
      </w:r>
    </w:p>
    <w:p w:rsidR="00902700" w:rsidRDefault="00902700" w:rsidP="008B6B0C">
      <w:pPr>
        <w:jc w:val="both"/>
        <w:rPr>
          <w:sz w:val="20"/>
        </w:rPr>
      </w:pPr>
      <w:r>
        <w:rPr>
          <w:sz w:val="20"/>
        </w:rPr>
        <w:t>All Independent Variables are lagged one year relative to the dependent variable.</w:t>
      </w:r>
    </w:p>
    <w:p w:rsidR="008B6B0C" w:rsidRPr="00ED093D" w:rsidRDefault="008B6B0C" w:rsidP="008B6B0C">
      <w:pPr>
        <w:jc w:val="both"/>
        <w:rPr>
          <w:sz w:val="20"/>
        </w:rPr>
      </w:pPr>
      <w:r w:rsidRPr="00ED093D">
        <w:rPr>
          <w:sz w:val="20"/>
        </w:rPr>
        <w:t>Year fixed-effect dummy variables are included in the model but the results are not reported for brevity.</w:t>
      </w:r>
    </w:p>
    <w:p w:rsidR="008B6B0C" w:rsidRPr="00ED093D" w:rsidRDefault="008B6B0C" w:rsidP="008B6B0C">
      <w:pPr>
        <w:jc w:val="both"/>
        <w:rPr>
          <w:sz w:val="20"/>
        </w:rPr>
      </w:pPr>
      <w:r>
        <w:rPr>
          <w:sz w:val="20"/>
        </w:rPr>
        <w:t xml:space="preserve">Models 1 </w:t>
      </w:r>
      <w:r w:rsidR="00D2515D">
        <w:rPr>
          <w:sz w:val="20"/>
        </w:rPr>
        <w:t>and</w:t>
      </w:r>
      <w:r>
        <w:rPr>
          <w:sz w:val="20"/>
        </w:rPr>
        <w:t xml:space="preserve"> 2 include all definition of family firms. Models 3 </w:t>
      </w:r>
      <w:r w:rsidR="00D2515D">
        <w:rPr>
          <w:sz w:val="20"/>
        </w:rPr>
        <w:t>and</w:t>
      </w:r>
      <w:r>
        <w:rPr>
          <w:sz w:val="20"/>
        </w:rPr>
        <w:t xml:space="preserve"> 4 exclude firms which are owned by a mutual parent organization. Models 5 </w:t>
      </w:r>
      <w:r w:rsidR="00D2515D">
        <w:rPr>
          <w:sz w:val="20"/>
        </w:rPr>
        <w:t>and</w:t>
      </w:r>
      <w:r>
        <w:rPr>
          <w:sz w:val="20"/>
        </w:rPr>
        <w:t xml:space="preserve"> 6 exclude all family-controlled firms.</w:t>
      </w:r>
    </w:p>
    <w:p w:rsidR="008B6B0C" w:rsidRDefault="008B6B0C" w:rsidP="008B6B0C">
      <w:pPr>
        <w:jc w:val="both"/>
        <w:rPr>
          <w:sz w:val="20"/>
        </w:rPr>
      </w:pPr>
    </w:p>
    <w:p w:rsidR="008B6B0C" w:rsidRDefault="008B6B0C" w:rsidP="008B6B0C">
      <w:pPr>
        <w:rPr>
          <w:sz w:val="20"/>
        </w:rPr>
      </w:pPr>
      <w:r>
        <w:rPr>
          <w:sz w:val="20"/>
        </w:rPr>
        <w:br w:type="page"/>
      </w:r>
    </w:p>
    <w:p w:rsidR="008B6B0C" w:rsidRPr="00980732" w:rsidRDefault="008B6B0C" w:rsidP="008B6B0C">
      <w:pPr>
        <w:rPr>
          <w:b/>
          <w:sz w:val="22"/>
        </w:rPr>
      </w:pPr>
      <w:r w:rsidRPr="00980732">
        <w:rPr>
          <w:b/>
          <w:sz w:val="22"/>
        </w:rPr>
        <w:lastRenderedPageBreak/>
        <w:t>Table 6</w:t>
      </w:r>
    </w:p>
    <w:p w:rsidR="008B6B0C" w:rsidRPr="00980732" w:rsidRDefault="008B6B0C" w:rsidP="008B6B0C">
      <w:pPr>
        <w:rPr>
          <w:sz w:val="22"/>
        </w:rPr>
      </w:pPr>
      <w:r w:rsidRPr="00980732">
        <w:rPr>
          <w:sz w:val="22"/>
        </w:rPr>
        <w:t>Empirical Results (Dependent Variable = ROA)</w:t>
      </w:r>
    </w:p>
    <w:tbl>
      <w:tblPr>
        <w:tblW w:w="8637" w:type="dxa"/>
        <w:tblInd w:w="93" w:type="dxa"/>
        <w:tblLayout w:type="fixed"/>
        <w:tblLook w:val="04A0"/>
      </w:tblPr>
      <w:tblGrid>
        <w:gridCol w:w="1839"/>
        <w:gridCol w:w="1133"/>
        <w:gridCol w:w="1133"/>
        <w:gridCol w:w="1133"/>
        <w:gridCol w:w="1133"/>
        <w:gridCol w:w="1133"/>
        <w:gridCol w:w="1133"/>
      </w:tblGrid>
      <w:tr w:rsidR="00902700" w:rsidRPr="00E43315" w:rsidTr="00EB01D8">
        <w:trPr>
          <w:trHeight w:val="255"/>
        </w:trPr>
        <w:tc>
          <w:tcPr>
            <w:tcW w:w="1839" w:type="dxa"/>
            <w:tcBorders>
              <w:top w:val="single" w:sz="4" w:space="0" w:color="auto"/>
              <w:left w:val="nil"/>
              <w:bottom w:val="single" w:sz="4" w:space="0" w:color="000000"/>
              <w:right w:val="nil"/>
            </w:tcBorders>
            <w:shd w:val="clear" w:color="auto" w:fill="auto"/>
            <w:noWrap/>
            <w:vAlign w:val="center"/>
            <w:hideMark/>
          </w:tcPr>
          <w:p w:rsidR="008B6B0C" w:rsidRPr="00E43315" w:rsidRDefault="008B6B0C" w:rsidP="00902700">
            <w:pPr>
              <w:rPr>
                <w:rFonts w:eastAsia="Times New Roman"/>
                <w:b/>
                <w:sz w:val="20"/>
                <w:szCs w:val="20"/>
              </w:rPr>
            </w:pPr>
            <w:r w:rsidRPr="00E43315">
              <w:rPr>
                <w:rFonts w:eastAsia="Times New Roman"/>
                <w:b/>
                <w:sz w:val="20"/>
                <w:szCs w:val="20"/>
              </w:rPr>
              <w:t>VARIABLES</w:t>
            </w:r>
          </w:p>
        </w:tc>
        <w:tc>
          <w:tcPr>
            <w:tcW w:w="1133" w:type="dxa"/>
            <w:tcBorders>
              <w:top w:val="single" w:sz="4" w:space="0" w:color="auto"/>
              <w:left w:val="nil"/>
              <w:bottom w:val="single" w:sz="4" w:space="0" w:color="000000"/>
              <w:right w:val="nil"/>
            </w:tcBorders>
            <w:shd w:val="clear" w:color="auto" w:fill="auto"/>
            <w:noWrap/>
            <w:vAlign w:val="center"/>
            <w:hideMark/>
          </w:tcPr>
          <w:p w:rsidR="008B6B0C" w:rsidRPr="00E43315" w:rsidRDefault="008B6B0C" w:rsidP="00EB01D8">
            <w:pPr>
              <w:rPr>
                <w:rFonts w:eastAsia="Times New Roman"/>
                <w:b/>
                <w:sz w:val="20"/>
                <w:szCs w:val="20"/>
              </w:rPr>
            </w:pPr>
            <w:r w:rsidRPr="00E43315">
              <w:rPr>
                <w:rFonts w:eastAsia="Times New Roman"/>
                <w:b/>
                <w:sz w:val="20"/>
                <w:szCs w:val="20"/>
              </w:rPr>
              <w:t>Model 1</w:t>
            </w:r>
          </w:p>
        </w:tc>
        <w:tc>
          <w:tcPr>
            <w:tcW w:w="1133" w:type="dxa"/>
            <w:tcBorders>
              <w:top w:val="single" w:sz="4" w:space="0" w:color="auto"/>
              <w:left w:val="nil"/>
              <w:bottom w:val="single" w:sz="4" w:space="0" w:color="000000"/>
              <w:right w:val="nil"/>
            </w:tcBorders>
            <w:shd w:val="clear" w:color="auto" w:fill="auto"/>
            <w:noWrap/>
            <w:vAlign w:val="center"/>
            <w:hideMark/>
          </w:tcPr>
          <w:p w:rsidR="008B6B0C" w:rsidRPr="00E43315" w:rsidRDefault="008B6B0C" w:rsidP="00EB01D8">
            <w:pPr>
              <w:rPr>
                <w:rFonts w:eastAsia="Times New Roman"/>
                <w:b/>
                <w:sz w:val="20"/>
                <w:szCs w:val="20"/>
              </w:rPr>
            </w:pPr>
            <w:r w:rsidRPr="00E43315">
              <w:rPr>
                <w:rFonts w:eastAsia="Times New Roman"/>
                <w:b/>
                <w:sz w:val="20"/>
                <w:szCs w:val="20"/>
              </w:rPr>
              <w:t>Model 2</w:t>
            </w:r>
          </w:p>
        </w:tc>
        <w:tc>
          <w:tcPr>
            <w:tcW w:w="1133" w:type="dxa"/>
            <w:tcBorders>
              <w:top w:val="single" w:sz="4" w:space="0" w:color="auto"/>
              <w:left w:val="nil"/>
              <w:bottom w:val="single" w:sz="4" w:space="0" w:color="000000"/>
              <w:right w:val="nil"/>
            </w:tcBorders>
            <w:shd w:val="clear" w:color="auto" w:fill="auto"/>
            <w:noWrap/>
            <w:vAlign w:val="center"/>
            <w:hideMark/>
          </w:tcPr>
          <w:p w:rsidR="008B6B0C" w:rsidRPr="00E43315" w:rsidRDefault="008B6B0C" w:rsidP="00EB01D8">
            <w:pPr>
              <w:rPr>
                <w:rFonts w:eastAsia="Times New Roman"/>
                <w:b/>
                <w:sz w:val="20"/>
                <w:szCs w:val="20"/>
              </w:rPr>
            </w:pPr>
            <w:r w:rsidRPr="00E43315">
              <w:rPr>
                <w:rFonts w:eastAsia="Times New Roman"/>
                <w:b/>
                <w:sz w:val="20"/>
                <w:szCs w:val="20"/>
              </w:rPr>
              <w:t>Model 3</w:t>
            </w:r>
          </w:p>
        </w:tc>
        <w:tc>
          <w:tcPr>
            <w:tcW w:w="1133" w:type="dxa"/>
            <w:tcBorders>
              <w:top w:val="single" w:sz="4" w:space="0" w:color="auto"/>
              <w:left w:val="nil"/>
              <w:bottom w:val="single" w:sz="4" w:space="0" w:color="000000"/>
              <w:right w:val="nil"/>
            </w:tcBorders>
            <w:shd w:val="clear" w:color="auto" w:fill="auto"/>
            <w:noWrap/>
            <w:vAlign w:val="center"/>
            <w:hideMark/>
          </w:tcPr>
          <w:p w:rsidR="008B6B0C" w:rsidRPr="00E43315" w:rsidRDefault="008B6B0C" w:rsidP="00EB01D8">
            <w:pPr>
              <w:rPr>
                <w:rFonts w:eastAsia="Times New Roman"/>
                <w:b/>
                <w:sz w:val="20"/>
                <w:szCs w:val="20"/>
              </w:rPr>
            </w:pPr>
            <w:r w:rsidRPr="00E43315">
              <w:rPr>
                <w:rFonts w:eastAsia="Times New Roman"/>
                <w:b/>
                <w:sz w:val="20"/>
                <w:szCs w:val="20"/>
              </w:rPr>
              <w:t>Model 4</w:t>
            </w:r>
          </w:p>
        </w:tc>
        <w:tc>
          <w:tcPr>
            <w:tcW w:w="1133" w:type="dxa"/>
            <w:tcBorders>
              <w:top w:val="single" w:sz="4" w:space="0" w:color="auto"/>
              <w:left w:val="nil"/>
              <w:bottom w:val="single" w:sz="4" w:space="0" w:color="000000"/>
              <w:right w:val="nil"/>
            </w:tcBorders>
            <w:shd w:val="clear" w:color="auto" w:fill="auto"/>
            <w:noWrap/>
            <w:vAlign w:val="center"/>
            <w:hideMark/>
          </w:tcPr>
          <w:p w:rsidR="008B6B0C" w:rsidRPr="00E43315" w:rsidRDefault="008B6B0C" w:rsidP="00EB01D8">
            <w:pPr>
              <w:rPr>
                <w:rFonts w:eastAsia="Times New Roman"/>
                <w:b/>
                <w:sz w:val="20"/>
                <w:szCs w:val="20"/>
              </w:rPr>
            </w:pPr>
            <w:r w:rsidRPr="00E43315">
              <w:rPr>
                <w:rFonts w:eastAsia="Times New Roman"/>
                <w:b/>
                <w:sz w:val="20"/>
                <w:szCs w:val="20"/>
              </w:rPr>
              <w:t>Model 5</w:t>
            </w:r>
          </w:p>
        </w:tc>
        <w:tc>
          <w:tcPr>
            <w:tcW w:w="1133" w:type="dxa"/>
            <w:tcBorders>
              <w:top w:val="single" w:sz="4" w:space="0" w:color="auto"/>
              <w:left w:val="nil"/>
              <w:bottom w:val="single" w:sz="4" w:space="0" w:color="000000"/>
              <w:right w:val="nil"/>
            </w:tcBorders>
            <w:shd w:val="clear" w:color="auto" w:fill="auto"/>
            <w:noWrap/>
            <w:vAlign w:val="center"/>
            <w:hideMark/>
          </w:tcPr>
          <w:p w:rsidR="008B6B0C" w:rsidRPr="00E43315" w:rsidRDefault="008B6B0C" w:rsidP="00EB01D8">
            <w:pPr>
              <w:rPr>
                <w:rFonts w:eastAsia="Times New Roman"/>
                <w:b/>
                <w:sz w:val="20"/>
                <w:szCs w:val="20"/>
              </w:rPr>
            </w:pPr>
            <w:r w:rsidRPr="00E43315">
              <w:rPr>
                <w:rFonts w:eastAsia="Times New Roman"/>
                <w:b/>
                <w:sz w:val="20"/>
                <w:szCs w:val="20"/>
              </w:rPr>
              <w:t>Model 6</w:t>
            </w:r>
          </w:p>
        </w:tc>
      </w:tr>
      <w:tr w:rsidR="00902700" w:rsidRPr="00E43315" w:rsidTr="00EB01D8">
        <w:trPr>
          <w:trHeight w:val="255"/>
        </w:trPr>
        <w:tc>
          <w:tcPr>
            <w:tcW w:w="1839" w:type="dxa"/>
            <w:tcBorders>
              <w:top w:val="single" w:sz="4" w:space="0" w:color="000000"/>
              <w:left w:val="nil"/>
              <w:bottom w:val="nil"/>
              <w:right w:val="nil"/>
            </w:tcBorders>
            <w:shd w:val="clear" w:color="auto" w:fill="auto"/>
            <w:noWrap/>
            <w:vAlign w:val="center"/>
            <w:hideMark/>
          </w:tcPr>
          <w:p w:rsidR="008B6B0C" w:rsidRPr="00E43315" w:rsidRDefault="008B6B0C" w:rsidP="00902700">
            <w:pPr>
              <w:rPr>
                <w:rFonts w:eastAsia="Times New Roman"/>
                <w:sz w:val="20"/>
                <w:szCs w:val="20"/>
              </w:rPr>
            </w:pPr>
            <w:r w:rsidRPr="00E43315">
              <w:rPr>
                <w:rFonts w:eastAsia="Times New Roman"/>
                <w:sz w:val="20"/>
                <w:szCs w:val="20"/>
              </w:rPr>
              <w:t> </w:t>
            </w:r>
          </w:p>
          <w:p w:rsidR="008B6B0C" w:rsidRPr="00E43315" w:rsidRDefault="008B6B0C">
            <w:pPr>
              <w:rPr>
                <w:rFonts w:eastAsia="Times New Roman"/>
                <w:i/>
                <w:sz w:val="20"/>
                <w:szCs w:val="20"/>
              </w:rPr>
            </w:pPr>
            <w:r w:rsidRPr="00E43315">
              <w:rPr>
                <w:rFonts w:eastAsia="Times New Roman"/>
                <w:i/>
                <w:sz w:val="20"/>
                <w:szCs w:val="20"/>
              </w:rPr>
              <w:t>Governance</w:t>
            </w:r>
          </w:p>
        </w:tc>
        <w:tc>
          <w:tcPr>
            <w:tcW w:w="1133" w:type="dxa"/>
            <w:tcBorders>
              <w:top w:val="single" w:sz="4" w:space="0" w:color="000000"/>
              <w:left w:val="nil"/>
              <w:bottom w:val="nil"/>
              <w:right w:val="nil"/>
            </w:tcBorders>
            <w:shd w:val="clear" w:color="auto" w:fill="auto"/>
            <w:noWrap/>
            <w:vAlign w:val="center"/>
            <w:hideMark/>
          </w:tcPr>
          <w:p w:rsidR="008B6B0C" w:rsidRPr="00E43315" w:rsidRDefault="008B6B0C">
            <w:pPr>
              <w:rPr>
                <w:rFonts w:eastAsia="Times New Roman"/>
                <w:sz w:val="20"/>
                <w:szCs w:val="20"/>
              </w:rPr>
            </w:pPr>
            <w:r w:rsidRPr="00E43315">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center"/>
            <w:hideMark/>
          </w:tcPr>
          <w:p w:rsidR="008B6B0C" w:rsidRPr="00E43315" w:rsidRDefault="008B6B0C">
            <w:pPr>
              <w:rPr>
                <w:rFonts w:eastAsia="Times New Roman"/>
                <w:sz w:val="20"/>
                <w:szCs w:val="20"/>
              </w:rPr>
            </w:pPr>
            <w:r w:rsidRPr="00E43315">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center"/>
            <w:hideMark/>
          </w:tcPr>
          <w:p w:rsidR="008B6B0C" w:rsidRPr="00E43315" w:rsidRDefault="008B6B0C">
            <w:pPr>
              <w:rPr>
                <w:rFonts w:eastAsia="Times New Roman"/>
                <w:sz w:val="20"/>
                <w:szCs w:val="20"/>
              </w:rPr>
            </w:pPr>
            <w:r w:rsidRPr="00E43315">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center"/>
            <w:hideMark/>
          </w:tcPr>
          <w:p w:rsidR="008B6B0C" w:rsidRPr="00E43315" w:rsidRDefault="008B6B0C">
            <w:pPr>
              <w:rPr>
                <w:rFonts w:eastAsia="Times New Roman"/>
                <w:sz w:val="20"/>
                <w:szCs w:val="20"/>
              </w:rPr>
            </w:pPr>
            <w:r w:rsidRPr="00E43315">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center"/>
            <w:hideMark/>
          </w:tcPr>
          <w:p w:rsidR="008B6B0C" w:rsidRPr="00E43315" w:rsidRDefault="008B6B0C">
            <w:pPr>
              <w:rPr>
                <w:rFonts w:eastAsia="Times New Roman"/>
                <w:sz w:val="20"/>
                <w:szCs w:val="20"/>
              </w:rPr>
            </w:pPr>
            <w:r w:rsidRPr="00E43315">
              <w:rPr>
                <w:rFonts w:eastAsia="Times New Roman"/>
                <w:sz w:val="20"/>
                <w:szCs w:val="20"/>
              </w:rPr>
              <w:t> </w:t>
            </w:r>
          </w:p>
        </w:tc>
        <w:tc>
          <w:tcPr>
            <w:tcW w:w="1133" w:type="dxa"/>
            <w:tcBorders>
              <w:top w:val="single" w:sz="4" w:space="0" w:color="000000"/>
              <w:left w:val="nil"/>
              <w:bottom w:val="nil"/>
              <w:right w:val="nil"/>
            </w:tcBorders>
            <w:shd w:val="clear" w:color="auto" w:fill="auto"/>
            <w:noWrap/>
            <w:vAlign w:val="center"/>
            <w:hideMark/>
          </w:tcPr>
          <w:p w:rsidR="008B6B0C" w:rsidRPr="00E43315" w:rsidRDefault="008B6B0C">
            <w:pPr>
              <w:rPr>
                <w:rFonts w:eastAsia="Times New Roman"/>
                <w:sz w:val="20"/>
                <w:szCs w:val="20"/>
              </w:rPr>
            </w:pPr>
            <w:r w:rsidRPr="00E43315">
              <w:rPr>
                <w:rFonts w:eastAsia="Times New Roman"/>
                <w:sz w:val="20"/>
                <w:szCs w:val="20"/>
              </w:rPr>
              <w:t> </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Family</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(-1.763)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(-2.316)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(-1.699)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(-2.388)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Duality</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0.002</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(-0.116)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(0.207)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(-0.098)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(0.192)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(0.645)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(0.768)</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Family*Dual</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(0.344)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(0.689)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(0.149)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(0.647)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roofErr w:type="spellStart"/>
            <w:r w:rsidRPr="00E43315">
              <w:rPr>
                <w:rFonts w:eastAsia="Times New Roman"/>
                <w:color w:val="000000"/>
                <w:sz w:val="20"/>
                <w:szCs w:val="20"/>
              </w:rPr>
              <w:t>Blockholder</w:t>
            </w:r>
            <w:proofErr w:type="spellEnd"/>
            <w:r w:rsidRPr="00E43315">
              <w:rPr>
                <w:rFonts w:eastAsia="Times New Roman"/>
                <w:color w:val="000000"/>
                <w:sz w:val="20"/>
                <w:szCs w:val="20"/>
              </w:rPr>
              <w:t xml:space="preserve"> Pct</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-0.020***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-0.025***</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(-2.776)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(-3.072)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(-2.309)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(-2.753)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(-1.835)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(-2.752)</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color w:val="000000"/>
                <w:sz w:val="20"/>
                <w:szCs w:val="20"/>
              </w:rPr>
              <w:t>Blackrock</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(0.675)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(-0.138)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(0.653)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(-0.456)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(0.537)</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D&amp;O Pct</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0.032**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0.037***</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(1.054)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(0.797)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(0.991)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(0.805)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(2.401)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(2.801)</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Log Current Comp</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(6.055)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(6.067)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(4.742)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Fwd Comp Pct</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0.009*</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(3.341)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(3.103)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(3.023)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(2.918)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(2.783)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(1.772)</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Leverage</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-0.102***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-0.095***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-0.104***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-0.097***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-0.086***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-0.105***</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(-9.681)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(-9.354)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(-9.704)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(-9.476)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(-5.190)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(-7.078)</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8B6B0C" w:rsidRPr="00E43315" w:rsidRDefault="008B6B0C" w:rsidP="00902700">
            <w:pPr>
              <w:rPr>
                <w:rFonts w:eastAsia="Times New Roman"/>
                <w:sz w:val="20"/>
                <w:szCs w:val="20"/>
              </w:rPr>
            </w:pPr>
          </w:p>
          <w:p w:rsidR="008B6B0C" w:rsidRPr="00E43315" w:rsidRDefault="008B6B0C">
            <w:pPr>
              <w:rPr>
                <w:rFonts w:eastAsia="Times New Roman"/>
                <w:i/>
                <w:sz w:val="20"/>
                <w:szCs w:val="20"/>
              </w:rPr>
            </w:pPr>
            <w:r w:rsidRPr="00E43315">
              <w:rPr>
                <w:rFonts w:eastAsia="Times New Roman"/>
                <w:i/>
                <w:sz w:val="20"/>
                <w:szCs w:val="20"/>
              </w:rPr>
              <w:t>Controls</w:t>
            </w:r>
          </w:p>
        </w:tc>
        <w:tc>
          <w:tcPr>
            <w:tcW w:w="1133" w:type="dxa"/>
            <w:tcBorders>
              <w:top w:val="nil"/>
              <w:left w:val="nil"/>
              <w:bottom w:val="nil"/>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8B6B0C" w:rsidRPr="00E43315" w:rsidRDefault="008B6B0C">
            <w:pPr>
              <w:rPr>
                <w:rFonts w:eastAsia="Times New Roman"/>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Liquidity</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0.013**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(2.206)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(2.354)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(1.703)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Extreme Liquid</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(-1.376)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(-1.969)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(-1.452)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(-1.978)</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(0.022)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(-0.070)</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Risk</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(1.002)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(0.573)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(1.012)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(0.539)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(-1.329)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(-2.609)</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Size</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-0.003***</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-0.001*</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-0.003**</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(-3.645)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(-1.842)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(-3.626)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(-1.920)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(-4.036)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(-2.445)</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Focus</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-0.002</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(3.094)</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(2.759)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(3.050)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(2.755)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(-0.059)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(-0.841)</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Constant</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0.085***</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0.119***</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0.087***</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0.122***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0.092***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0.146***</w:t>
            </w:r>
          </w:p>
        </w:tc>
      </w:tr>
      <w:tr w:rsidR="00902700" w:rsidRPr="00E43315" w:rsidTr="00EB01D8">
        <w:trPr>
          <w:trHeight w:val="255"/>
        </w:trPr>
        <w:tc>
          <w:tcPr>
            <w:tcW w:w="1839" w:type="dxa"/>
            <w:tcBorders>
              <w:top w:val="nil"/>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(8.260)</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(12.952)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(8.042)</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(12.306)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(5.816)</w:t>
            </w:r>
          </w:p>
        </w:tc>
        <w:tc>
          <w:tcPr>
            <w:tcW w:w="1133" w:type="dxa"/>
            <w:tcBorders>
              <w:top w:val="nil"/>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(11.885)</w:t>
            </w:r>
          </w:p>
        </w:tc>
      </w:tr>
      <w:tr w:rsidR="00902700" w:rsidRPr="00E43315" w:rsidTr="00EB01D8">
        <w:trPr>
          <w:trHeight w:val="255"/>
        </w:trPr>
        <w:tc>
          <w:tcPr>
            <w:tcW w:w="1839" w:type="dxa"/>
            <w:tcBorders>
              <w:top w:val="nil"/>
              <w:left w:val="nil"/>
              <w:bottom w:val="single" w:sz="4" w:space="0" w:color="auto"/>
              <w:right w:val="nil"/>
            </w:tcBorders>
            <w:shd w:val="clear" w:color="auto" w:fill="auto"/>
            <w:noWrap/>
            <w:vAlign w:val="center"/>
            <w:hideMark/>
          </w:tcPr>
          <w:p w:rsidR="008B6B0C" w:rsidRPr="00E43315" w:rsidRDefault="008B6B0C" w:rsidP="00902700">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E43315" w:rsidRDefault="008B6B0C">
            <w:pPr>
              <w:rPr>
                <w:rFonts w:eastAsia="Times New Roman"/>
                <w:sz w:val="20"/>
                <w:szCs w:val="20"/>
              </w:rPr>
            </w:pPr>
          </w:p>
        </w:tc>
        <w:tc>
          <w:tcPr>
            <w:tcW w:w="1133" w:type="dxa"/>
            <w:tcBorders>
              <w:top w:val="nil"/>
              <w:left w:val="nil"/>
              <w:bottom w:val="single" w:sz="4" w:space="0" w:color="auto"/>
              <w:right w:val="nil"/>
            </w:tcBorders>
            <w:shd w:val="clear" w:color="auto" w:fill="auto"/>
            <w:noWrap/>
            <w:vAlign w:val="center"/>
            <w:hideMark/>
          </w:tcPr>
          <w:p w:rsidR="008B6B0C" w:rsidRPr="00E43315" w:rsidRDefault="008B6B0C">
            <w:pPr>
              <w:rPr>
                <w:rFonts w:eastAsia="Times New Roman"/>
                <w:sz w:val="20"/>
                <w:szCs w:val="20"/>
              </w:rPr>
            </w:pPr>
          </w:p>
        </w:tc>
      </w:tr>
      <w:tr w:rsidR="00902700" w:rsidRPr="00E43315" w:rsidTr="00EB01D8">
        <w:trPr>
          <w:trHeight w:val="255"/>
        </w:trPr>
        <w:tc>
          <w:tcPr>
            <w:tcW w:w="1839" w:type="dxa"/>
            <w:tcBorders>
              <w:top w:val="single" w:sz="4" w:space="0" w:color="auto"/>
              <w:left w:val="nil"/>
              <w:bottom w:val="nil"/>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Observations</w:t>
            </w:r>
          </w:p>
        </w:tc>
        <w:tc>
          <w:tcPr>
            <w:tcW w:w="1133" w:type="dxa"/>
            <w:tcBorders>
              <w:top w:val="single" w:sz="4" w:space="0" w:color="auto"/>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618</w:t>
            </w:r>
          </w:p>
        </w:tc>
        <w:tc>
          <w:tcPr>
            <w:tcW w:w="1133" w:type="dxa"/>
            <w:tcBorders>
              <w:top w:val="single" w:sz="4" w:space="0" w:color="auto"/>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618</w:t>
            </w:r>
          </w:p>
        </w:tc>
        <w:tc>
          <w:tcPr>
            <w:tcW w:w="1133" w:type="dxa"/>
            <w:tcBorders>
              <w:top w:val="single" w:sz="4" w:space="0" w:color="auto"/>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582</w:t>
            </w:r>
          </w:p>
        </w:tc>
        <w:tc>
          <w:tcPr>
            <w:tcW w:w="1133" w:type="dxa"/>
            <w:tcBorders>
              <w:top w:val="single" w:sz="4" w:space="0" w:color="auto"/>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582</w:t>
            </w:r>
          </w:p>
        </w:tc>
        <w:tc>
          <w:tcPr>
            <w:tcW w:w="1133" w:type="dxa"/>
            <w:tcBorders>
              <w:top w:val="single" w:sz="4" w:space="0" w:color="auto"/>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378</w:t>
            </w:r>
          </w:p>
        </w:tc>
        <w:tc>
          <w:tcPr>
            <w:tcW w:w="1133" w:type="dxa"/>
            <w:tcBorders>
              <w:top w:val="single" w:sz="4" w:space="0" w:color="auto"/>
              <w:left w:val="nil"/>
              <w:bottom w:val="nil"/>
              <w:right w:val="nil"/>
            </w:tcBorders>
            <w:shd w:val="clear" w:color="auto" w:fill="auto"/>
            <w:noWrap/>
            <w:vAlign w:val="center"/>
            <w:hideMark/>
          </w:tcPr>
          <w:p w:rsidR="00902700" w:rsidRPr="00E43315" w:rsidRDefault="00902700">
            <w:pPr>
              <w:rPr>
                <w:sz w:val="20"/>
                <w:szCs w:val="20"/>
              </w:rPr>
            </w:pPr>
            <w:r w:rsidRPr="00EB01D8">
              <w:rPr>
                <w:sz w:val="20"/>
                <w:szCs w:val="20"/>
              </w:rPr>
              <w:t>378</w:t>
            </w:r>
          </w:p>
        </w:tc>
      </w:tr>
      <w:tr w:rsidR="00902700" w:rsidRPr="00E43315" w:rsidTr="00EB01D8">
        <w:trPr>
          <w:trHeight w:val="255"/>
        </w:trPr>
        <w:tc>
          <w:tcPr>
            <w:tcW w:w="1839" w:type="dxa"/>
            <w:tcBorders>
              <w:top w:val="nil"/>
              <w:left w:val="nil"/>
              <w:bottom w:val="single" w:sz="4" w:space="0" w:color="000000"/>
              <w:right w:val="nil"/>
            </w:tcBorders>
            <w:shd w:val="clear" w:color="auto" w:fill="auto"/>
            <w:noWrap/>
            <w:vAlign w:val="center"/>
            <w:hideMark/>
          </w:tcPr>
          <w:p w:rsidR="00902700" w:rsidRPr="00E43315" w:rsidRDefault="00902700" w:rsidP="00902700">
            <w:pPr>
              <w:rPr>
                <w:rFonts w:eastAsia="Times New Roman"/>
                <w:sz w:val="20"/>
                <w:szCs w:val="20"/>
              </w:rPr>
            </w:pPr>
            <w:r w:rsidRPr="00E43315">
              <w:rPr>
                <w:rFonts w:eastAsia="Times New Roman"/>
                <w:sz w:val="20"/>
                <w:szCs w:val="20"/>
              </w:rPr>
              <w:t>R-squared</w:t>
            </w:r>
          </w:p>
        </w:tc>
        <w:tc>
          <w:tcPr>
            <w:tcW w:w="1133" w:type="dxa"/>
            <w:tcBorders>
              <w:top w:val="nil"/>
              <w:left w:val="nil"/>
              <w:bottom w:val="single" w:sz="4" w:space="0" w:color="000000"/>
              <w:right w:val="nil"/>
            </w:tcBorders>
            <w:shd w:val="clear" w:color="auto" w:fill="auto"/>
            <w:noWrap/>
            <w:vAlign w:val="center"/>
            <w:hideMark/>
          </w:tcPr>
          <w:p w:rsidR="00902700" w:rsidRPr="00E43315" w:rsidRDefault="00902700">
            <w:pPr>
              <w:rPr>
                <w:sz w:val="20"/>
                <w:szCs w:val="20"/>
              </w:rPr>
            </w:pPr>
            <w:r w:rsidRPr="00EB01D8">
              <w:rPr>
                <w:sz w:val="20"/>
                <w:szCs w:val="20"/>
              </w:rPr>
              <w:t>0.429</w:t>
            </w:r>
          </w:p>
        </w:tc>
        <w:tc>
          <w:tcPr>
            <w:tcW w:w="1133" w:type="dxa"/>
            <w:tcBorders>
              <w:top w:val="nil"/>
              <w:left w:val="nil"/>
              <w:bottom w:val="single" w:sz="4" w:space="0" w:color="000000"/>
              <w:right w:val="nil"/>
            </w:tcBorders>
            <w:shd w:val="clear" w:color="auto" w:fill="auto"/>
            <w:noWrap/>
            <w:vAlign w:val="center"/>
            <w:hideMark/>
          </w:tcPr>
          <w:p w:rsidR="00902700" w:rsidRPr="00E43315" w:rsidRDefault="00902700">
            <w:pPr>
              <w:rPr>
                <w:sz w:val="20"/>
                <w:szCs w:val="20"/>
              </w:rPr>
            </w:pPr>
            <w:r w:rsidRPr="00EB01D8">
              <w:rPr>
                <w:sz w:val="20"/>
                <w:szCs w:val="20"/>
              </w:rPr>
              <w:t>0.384</w:t>
            </w:r>
          </w:p>
        </w:tc>
        <w:tc>
          <w:tcPr>
            <w:tcW w:w="1133" w:type="dxa"/>
            <w:tcBorders>
              <w:top w:val="nil"/>
              <w:left w:val="nil"/>
              <w:bottom w:val="single" w:sz="4" w:space="0" w:color="000000"/>
              <w:right w:val="nil"/>
            </w:tcBorders>
            <w:shd w:val="clear" w:color="auto" w:fill="auto"/>
            <w:noWrap/>
            <w:vAlign w:val="center"/>
            <w:hideMark/>
          </w:tcPr>
          <w:p w:rsidR="00902700" w:rsidRPr="00E43315" w:rsidRDefault="00902700">
            <w:pPr>
              <w:rPr>
                <w:sz w:val="20"/>
                <w:szCs w:val="20"/>
              </w:rPr>
            </w:pPr>
            <w:r w:rsidRPr="00EB01D8">
              <w:rPr>
                <w:sz w:val="20"/>
                <w:szCs w:val="20"/>
              </w:rPr>
              <w:t>0.433</w:t>
            </w:r>
          </w:p>
        </w:tc>
        <w:tc>
          <w:tcPr>
            <w:tcW w:w="1133" w:type="dxa"/>
            <w:tcBorders>
              <w:top w:val="nil"/>
              <w:left w:val="nil"/>
              <w:bottom w:val="single" w:sz="4" w:space="0" w:color="000000"/>
              <w:right w:val="nil"/>
            </w:tcBorders>
            <w:shd w:val="clear" w:color="auto" w:fill="auto"/>
            <w:noWrap/>
            <w:vAlign w:val="center"/>
            <w:hideMark/>
          </w:tcPr>
          <w:p w:rsidR="00902700" w:rsidRPr="00E43315" w:rsidRDefault="00902700">
            <w:pPr>
              <w:rPr>
                <w:sz w:val="20"/>
                <w:szCs w:val="20"/>
              </w:rPr>
            </w:pPr>
            <w:r w:rsidRPr="00EB01D8">
              <w:rPr>
                <w:sz w:val="20"/>
                <w:szCs w:val="20"/>
              </w:rPr>
              <w:t>0.386</w:t>
            </w:r>
          </w:p>
        </w:tc>
        <w:tc>
          <w:tcPr>
            <w:tcW w:w="1133" w:type="dxa"/>
            <w:tcBorders>
              <w:top w:val="nil"/>
              <w:left w:val="nil"/>
              <w:bottom w:val="single" w:sz="4" w:space="0" w:color="000000"/>
              <w:right w:val="nil"/>
            </w:tcBorders>
            <w:shd w:val="clear" w:color="auto" w:fill="auto"/>
            <w:noWrap/>
            <w:vAlign w:val="center"/>
            <w:hideMark/>
          </w:tcPr>
          <w:p w:rsidR="00902700" w:rsidRPr="00E43315" w:rsidRDefault="00902700">
            <w:pPr>
              <w:rPr>
                <w:sz w:val="20"/>
                <w:szCs w:val="20"/>
              </w:rPr>
            </w:pPr>
            <w:r w:rsidRPr="00EB01D8">
              <w:rPr>
                <w:sz w:val="20"/>
                <w:szCs w:val="20"/>
              </w:rPr>
              <w:t>0.545</w:t>
            </w:r>
          </w:p>
        </w:tc>
        <w:tc>
          <w:tcPr>
            <w:tcW w:w="1133" w:type="dxa"/>
            <w:tcBorders>
              <w:top w:val="nil"/>
              <w:left w:val="nil"/>
              <w:bottom w:val="single" w:sz="4" w:space="0" w:color="000000"/>
              <w:right w:val="nil"/>
            </w:tcBorders>
            <w:shd w:val="clear" w:color="auto" w:fill="auto"/>
            <w:noWrap/>
            <w:vAlign w:val="center"/>
            <w:hideMark/>
          </w:tcPr>
          <w:p w:rsidR="00902700" w:rsidRPr="00E43315" w:rsidRDefault="00902700">
            <w:pPr>
              <w:rPr>
                <w:sz w:val="20"/>
                <w:szCs w:val="20"/>
              </w:rPr>
            </w:pPr>
            <w:r w:rsidRPr="00EB01D8">
              <w:rPr>
                <w:sz w:val="20"/>
                <w:szCs w:val="20"/>
              </w:rPr>
              <w:t>0.512</w:t>
            </w:r>
          </w:p>
        </w:tc>
      </w:tr>
    </w:tbl>
    <w:p w:rsidR="008B6B0C" w:rsidRDefault="008B6B0C" w:rsidP="008B6B0C">
      <w:pPr>
        <w:jc w:val="both"/>
        <w:rPr>
          <w:sz w:val="20"/>
        </w:rPr>
      </w:pPr>
      <w:r w:rsidRPr="00ED093D">
        <w:rPr>
          <w:sz w:val="20"/>
        </w:rPr>
        <w:t>Numbers in parentheses below coefficients are t-statistics. *, **, and *** indicate significance at the 10%, 5%, and 1% levels, respectively.</w:t>
      </w:r>
    </w:p>
    <w:p w:rsidR="00902700" w:rsidRDefault="00902700" w:rsidP="00902700">
      <w:pPr>
        <w:jc w:val="both"/>
        <w:rPr>
          <w:sz w:val="20"/>
        </w:rPr>
      </w:pPr>
      <w:r>
        <w:rPr>
          <w:sz w:val="20"/>
        </w:rPr>
        <w:t>All Independent Variables are lagged one year relative to the dependent variable.</w:t>
      </w:r>
    </w:p>
    <w:p w:rsidR="008B6B0C" w:rsidRPr="00ED093D" w:rsidRDefault="008B6B0C" w:rsidP="008B6B0C">
      <w:pPr>
        <w:jc w:val="both"/>
        <w:rPr>
          <w:sz w:val="20"/>
        </w:rPr>
      </w:pPr>
      <w:r w:rsidRPr="00ED093D">
        <w:rPr>
          <w:sz w:val="20"/>
        </w:rPr>
        <w:t>Year fixed-effect dummy variables are included in the model but the results are not reported for brevity.</w:t>
      </w:r>
    </w:p>
    <w:p w:rsidR="008B6B0C" w:rsidRPr="00ED093D" w:rsidRDefault="008B6B0C" w:rsidP="008B6B0C">
      <w:pPr>
        <w:jc w:val="both"/>
        <w:rPr>
          <w:sz w:val="20"/>
        </w:rPr>
      </w:pPr>
      <w:r>
        <w:rPr>
          <w:sz w:val="20"/>
        </w:rPr>
        <w:t xml:space="preserve">Models 1 </w:t>
      </w:r>
      <w:r w:rsidR="00D2515D">
        <w:rPr>
          <w:sz w:val="20"/>
        </w:rPr>
        <w:t>and</w:t>
      </w:r>
      <w:r>
        <w:rPr>
          <w:sz w:val="20"/>
        </w:rPr>
        <w:t xml:space="preserve"> 2 include all definition of family firms. Models 3 </w:t>
      </w:r>
      <w:r w:rsidR="00D2515D">
        <w:rPr>
          <w:sz w:val="20"/>
        </w:rPr>
        <w:t>and</w:t>
      </w:r>
      <w:r>
        <w:rPr>
          <w:sz w:val="20"/>
        </w:rPr>
        <w:t xml:space="preserve"> 4 exclude firms which are owned by a mutual parent organization. Models 5 </w:t>
      </w:r>
      <w:r w:rsidR="00D2515D">
        <w:rPr>
          <w:sz w:val="20"/>
        </w:rPr>
        <w:t>and</w:t>
      </w:r>
      <w:r>
        <w:rPr>
          <w:sz w:val="20"/>
        </w:rPr>
        <w:t xml:space="preserve"> 6 exclude all family-controlled firms.</w:t>
      </w:r>
    </w:p>
    <w:p w:rsidR="006637F4" w:rsidRPr="00ED093D" w:rsidRDefault="006637F4" w:rsidP="006637F4">
      <w:pPr>
        <w:jc w:val="both"/>
        <w:rPr>
          <w:sz w:val="20"/>
        </w:rPr>
      </w:pPr>
    </w:p>
    <w:p w:rsidR="006637F4" w:rsidRDefault="006637F4" w:rsidP="006637F4">
      <w:pPr>
        <w:rPr>
          <w:sz w:val="20"/>
        </w:rPr>
      </w:pPr>
      <w:r>
        <w:rPr>
          <w:sz w:val="20"/>
        </w:rPr>
        <w:br w:type="page"/>
      </w:r>
    </w:p>
    <w:p w:rsidR="00CD5559" w:rsidRPr="001272BC" w:rsidRDefault="00CD5559" w:rsidP="00CD5559">
      <w:pPr>
        <w:jc w:val="both"/>
        <w:rPr>
          <w:rFonts w:eastAsia="Times New Roman"/>
          <w:b/>
          <w:smallCaps/>
        </w:rPr>
      </w:pPr>
      <w:r w:rsidRPr="001272BC">
        <w:rPr>
          <w:rFonts w:eastAsia="Times New Roman"/>
          <w:b/>
          <w:smallCaps/>
        </w:rPr>
        <w:lastRenderedPageBreak/>
        <w:t>References</w:t>
      </w:r>
    </w:p>
    <w:p w:rsidR="00CD5559" w:rsidRPr="001272BC" w:rsidRDefault="00CD5559" w:rsidP="00CD5559">
      <w:pPr>
        <w:ind w:left="720" w:hanging="720"/>
        <w:jc w:val="both"/>
        <w:rPr>
          <w:rFonts w:eastAsia="Times New Roman"/>
        </w:rPr>
      </w:pP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Agrawal</w:t>
      </w:r>
      <w:proofErr w:type="spellEnd"/>
      <w:r w:rsidRPr="001272BC">
        <w:rPr>
          <w:rFonts w:eastAsia="Times New Roman"/>
        </w:rPr>
        <w:t xml:space="preserve">, A, and GN </w:t>
      </w:r>
      <w:proofErr w:type="spellStart"/>
      <w:r w:rsidRPr="001272BC">
        <w:rPr>
          <w:rFonts w:eastAsia="Times New Roman"/>
        </w:rPr>
        <w:t>Mandelker</w:t>
      </w:r>
      <w:proofErr w:type="spellEnd"/>
      <w:r w:rsidRPr="001272BC">
        <w:rPr>
          <w:rFonts w:eastAsia="Times New Roman"/>
        </w:rPr>
        <w:t xml:space="preserve"> (1990).</w:t>
      </w:r>
      <w:proofErr w:type="gramEnd"/>
      <w:r w:rsidRPr="001272BC">
        <w:rPr>
          <w:rFonts w:eastAsia="Times New Roman"/>
        </w:rPr>
        <w:t xml:space="preserve"> Large Shareholders and the Monitoring of Managers: The Case of Antitakeover Charter Amendments. </w:t>
      </w:r>
      <w:r w:rsidRPr="00F0387F">
        <w:rPr>
          <w:rFonts w:eastAsia="Times New Roman"/>
          <w:i/>
        </w:rPr>
        <w:t>Journal of Financial and Quantitative Analysis</w:t>
      </w:r>
      <w:r w:rsidRPr="001272BC">
        <w:rPr>
          <w:rFonts w:eastAsia="Times New Roman"/>
        </w:rPr>
        <w:t xml:space="preserve"> 25: 143-161.</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Alchian</w:t>
      </w:r>
      <w:proofErr w:type="spellEnd"/>
      <w:r w:rsidRPr="001272BC">
        <w:rPr>
          <w:rFonts w:eastAsia="Times New Roman"/>
        </w:rPr>
        <w:t xml:space="preserve">, A, and H </w:t>
      </w:r>
      <w:proofErr w:type="spellStart"/>
      <w:r w:rsidRPr="001272BC">
        <w:rPr>
          <w:rFonts w:eastAsia="Times New Roman"/>
        </w:rPr>
        <w:t>Demsetz</w:t>
      </w:r>
      <w:proofErr w:type="spellEnd"/>
      <w:r w:rsidRPr="001272BC">
        <w:rPr>
          <w:rFonts w:eastAsia="Times New Roman"/>
        </w:rPr>
        <w:t xml:space="preserve"> (1972).</w:t>
      </w:r>
      <w:proofErr w:type="gramEnd"/>
      <w:r w:rsidRPr="001272BC">
        <w:rPr>
          <w:rFonts w:eastAsia="Times New Roman"/>
        </w:rPr>
        <w:t xml:space="preserve"> </w:t>
      </w:r>
      <w:proofErr w:type="gramStart"/>
      <w:r w:rsidRPr="001272BC">
        <w:rPr>
          <w:rFonts w:eastAsia="Times New Roman"/>
        </w:rPr>
        <w:t>Production, information costs, and economic organization.</w:t>
      </w:r>
      <w:proofErr w:type="gramEnd"/>
      <w:r w:rsidRPr="001272BC">
        <w:rPr>
          <w:rFonts w:eastAsia="Times New Roman"/>
        </w:rPr>
        <w:t xml:space="preserve"> </w:t>
      </w:r>
      <w:r w:rsidRPr="00F0387F">
        <w:rPr>
          <w:rFonts w:eastAsia="Times New Roman"/>
          <w:i/>
        </w:rPr>
        <w:t>American Economic Review</w:t>
      </w:r>
      <w:r w:rsidRPr="001272BC">
        <w:rPr>
          <w:rFonts w:eastAsia="Times New Roman"/>
        </w:rPr>
        <w:t xml:space="preserve"> 62(5): 777–795.</w:t>
      </w:r>
    </w:p>
    <w:p w:rsidR="00CD5559" w:rsidRPr="001272BC" w:rsidRDefault="00CD5559" w:rsidP="00CD5559">
      <w:pPr>
        <w:pStyle w:val="NormalWeb"/>
        <w:widowControl w:val="0"/>
        <w:shd w:val="clear" w:color="auto" w:fill="FFFFFF"/>
        <w:spacing w:before="0" w:beforeAutospacing="0" w:after="0" w:afterAutospacing="0"/>
        <w:ind w:left="720" w:hanging="720"/>
        <w:jc w:val="both"/>
        <w:rPr>
          <w:rFonts w:ascii="Times" w:hAnsi="Times"/>
        </w:rPr>
      </w:pPr>
      <w:r w:rsidRPr="001272BC">
        <w:t xml:space="preserve">Anderson, R, and D </w:t>
      </w:r>
      <w:proofErr w:type="spellStart"/>
      <w:r w:rsidRPr="001272BC">
        <w:t>Reeb</w:t>
      </w:r>
      <w:proofErr w:type="spellEnd"/>
      <w:r w:rsidRPr="001272BC">
        <w:t xml:space="preserve"> (2003) “</w:t>
      </w:r>
      <w:r w:rsidRPr="001272BC">
        <w:rPr>
          <w:rFonts w:ascii="Code2000" w:hAnsi="Code2000"/>
        </w:rPr>
        <w:t>Founding-Family Ownership and Firm Performance: Evidence from the S&amp;P 500</w:t>
      </w:r>
      <w:r w:rsidRPr="001272BC">
        <w:rPr>
          <w:rFonts w:ascii="Code2000" w:hAnsi="Code2000" w:hint="eastAsia"/>
        </w:rPr>
        <w:t>”</w:t>
      </w:r>
      <w:r w:rsidRPr="001272BC">
        <w:rPr>
          <w:rFonts w:ascii="Code2000" w:hAnsi="Code2000"/>
        </w:rPr>
        <w:t xml:space="preserve"> </w:t>
      </w:r>
      <w:r w:rsidRPr="001272BC">
        <w:rPr>
          <w:rFonts w:ascii="Code2000" w:hAnsi="Code2000"/>
          <w:i/>
        </w:rPr>
        <w:t>The Journal of Finance</w:t>
      </w:r>
      <w:r w:rsidRPr="001272BC">
        <w:rPr>
          <w:rFonts w:ascii="Code2000" w:hAnsi="Code2000"/>
        </w:rPr>
        <w:t xml:space="preserve"> 58(3): 1301-28.</w:t>
      </w:r>
    </w:p>
    <w:p w:rsidR="00CD5559" w:rsidRPr="001272BC" w:rsidRDefault="00CD5559" w:rsidP="00CD5559">
      <w:pPr>
        <w:ind w:left="720" w:hanging="720"/>
        <w:jc w:val="both"/>
        <w:rPr>
          <w:rFonts w:eastAsia="Times New Roman"/>
        </w:rPr>
      </w:pPr>
      <w:r w:rsidRPr="001272BC">
        <w:rPr>
          <w:rFonts w:eastAsia="Times New Roman"/>
        </w:rPr>
        <w:t xml:space="preserve">Andres, C (2008). </w:t>
      </w:r>
      <w:proofErr w:type="gramStart"/>
      <w:r w:rsidRPr="001272BC">
        <w:rPr>
          <w:rFonts w:eastAsia="Times New Roman"/>
        </w:rPr>
        <w:t>Large Shareholders and Firm Performance – An Empirical Examination of Founding-Family Ownership.</w:t>
      </w:r>
      <w:proofErr w:type="gramEnd"/>
      <w:r w:rsidRPr="001272BC">
        <w:rPr>
          <w:rFonts w:eastAsia="Times New Roman"/>
        </w:rPr>
        <w:t xml:space="preserve"> </w:t>
      </w:r>
      <w:r w:rsidRPr="00F0387F">
        <w:rPr>
          <w:rFonts w:eastAsia="Times New Roman"/>
          <w:i/>
        </w:rPr>
        <w:t xml:space="preserve">Journal of Corporate Finance </w:t>
      </w:r>
      <w:r w:rsidRPr="001272BC">
        <w:rPr>
          <w:rFonts w:eastAsia="Times New Roman"/>
        </w:rPr>
        <w:t>13: 431-445.</w:t>
      </w:r>
    </w:p>
    <w:p w:rsidR="00CD5559" w:rsidRPr="001272BC" w:rsidRDefault="00CD5559" w:rsidP="00CD5559">
      <w:pPr>
        <w:pStyle w:val="Default"/>
        <w:widowControl w:val="0"/>
        <w:autoSpaceDE/>
        <w:autoSpaceDN/>
        <w:adjustRightInd/>
        <w:ind w:left="720" w:hanging="720"/>
        <w:jc w:val="both"/>
        <w:rPr>
          <w:color w:val="auto"/>
        </w:rPr>
      </w:pPr>
      <w:proofErr w:type="spellStart"/>
      <w:r w:rsidRPr="001272BC">
        <w:rPr>
          <w:color w:val="auto"/>
        </w:rPr>
        <w:t>Azur</w:t>
      </w:r>
      <w:proofErr w:type="spellEnd"/>
      <w:r w:rsidRPr="001272BC">
        <w:rPr>
          <w:color w:val="auto"/>
        </w:rPr>
        <w:t xml:space="preserve">, J, MC </w:t>
      </w:r>
      <w:proofErr w:type="spellStart"/>
      <w:r w:rsidRPr="001272BC">
        <w:rPr>
          <w:color w:val="auto"/>
        </w:rPr>
        <w:t>Schmalz</w:t>
      </w:r>
      <w:proofErr w:type="spellEnd"/>
      <w:r w:rsidRPr="001272BC">
        <w:rPr>
          <w:color w:val="auto"/>
        </w:rPr>
        <w:t xml:space="preserve">, and I </w:t>
      </w:r>
      <w:proofErr w:type="spellStart"/>
      <w:r w:rsidRPr="001272BC">
        <w:rPr>
          <w:color w:val="auto"/>
        </w:rPr>
        <w:t>Tecu</w:t>
      </w:r>
      <w:proofErr w:type="spellEnd"/>
      <w:r w:rsidRPr="001272BC">
        <w:rPr>
          <w:color w:val="auto"/>
        </w:rPr>
        <w:t xml:space="preserve"> (2015) “Anti-Competitive Effects of Common Ownership </w:t>
      </w:r>
      <w:r w:rsidRPr="001272BC">
        <w:rPr>
          <w:i/>
          <w:color w:val="auto"/>
        </w:rPr>
        <w:t>University of Michigan, Ross School of Business</w:t>
      </w:r>
      <w:r w:rsidRPr="001272BC">
        <w:rPr>
          <w:color w:val="auto"/>
        </w:rPr>
        <w:t xml:space="preserve"> Working paper No. 1235 (April)</w:t>
      </w:r>
      <w:r w:rsidRPr="001272BC">
        <w:rPr>
          <w:i/>
          <w:color w:val="auto"/>
        </w:rPr>
        <w:t xml:space="preserve"> </w:t>
      </w:r>
    </w:p>
    <w:p w:rsidR="00CD5559" w:rsidRPr="001272BC" w:rsidRDefault="00CD5559" w:rsidP="00CD5559">
      <w:pPr>
        <w:ind w:left="720" w:hanging="720"/>
        <w:jc w:val="both"/>
        <w:rPr>
          <w:rFonts w:eastAsia="Times New Roman"/>
        </w:rPr>
      </w:pPr>
      <w:proofErr w:type="gramStart"/>
      <w:r w:rsidRPr="001272BC">
        <w:rPr>
          <w:rFonts w:eastAsia="Times New Roman"/>
        </w:rPr>
        <w:t>Barrese, J, G Lai and N Scordis (2007).</w:t>
      </w:r>
      <w:proofErr w:type="gramEnd"/>
      <w:r w:rsidRPr="001272BC">
        <w:rPr>
          <w:rFonts w:eastAsia="Times New Roman"/>
        </w:rPr>
        <w:t xml:space="preserve"> </w:t>
      </w:r>
      <w:proofErr w:type="gramStart"/>
      <w:r w:rsidRPr="001272BC">
        <w:rPr>
          <w:rFonts w:eastAsia="Times New Roman"/>
        </w:rPr>
        <w:t>Ownership Concentration and Governance in the U.S. Insurance Industry.</w:t>
      </w:r>
      <w:proofErr w:type="gramEnd"/>
      <w:r w:rsidRPr="001272BC">
        <w:rPr>
          <w:rFonts w:eastAsia="Times New Roman"/>
        </w:rPr>
        <w:t xml:space="preserve"> </w:t>
      </w:r>
      <w:r w:rsidRPr="00F0387F">
        <w:rPr>
          <w:rFonts w:eastAsia="Times New Roman"/>
          <w:i/>
        </w:rPr>
        <w:t xml:space="preserve">Journal of Insurance Issues </w:t>
      </w:r>
      <w:r w:rsidRPr="001272BC">
        <w:rPr>
          <w:rFonts w:eastAsia="Times New Roman"/>
        </w:rPr>
        <w:t>30(1): 175–190.</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Belliveau</w:t>
      </w:r>
      <w:proofErr w:type="spellEnd"/>
      <w:r w:rsidRPr="001272BC">
        <w:rPr>
          <w:rFonts w:eastAsia="Times New Roman"/>
        </w:rPr>
        <w:t>, MA, CA O'Reilly and JB Wade (1996).</w:t>
      </w:r>
      <w:proofErr w:type="gramEnd"/>
      <w:r w:rsidRPr="001272BC">
        <w:rPr>
          <w:rFonts w:eastAsia="Times New Roman"/>
        </w:rPr>
        <w:t xml:space="preserve"> Social Capital at the Top: Effects of Social Similarity and Status on CEO Compensation. </w:t>
      </w:r>
      <w:r w:rsidRPr="00F0387F">
        <w:rPr>
          <w:rFonts w:eastAsia="Times New Roman"/>
          <w:i/>
        </w:rPr>
        <w:t xml:space="preserve">Academy of Management Journal </w:t>
      </w:r>
      <w:r w:rsidRPr="001272BC">
        <w:rPr>
          <w:rFonts w:eastAsia="Times New Roman"/>
        </w:rPr>
        <w:t>39(6): 1568–1593.</w:t>
      </w:r>
    </w:p>
    <w:p w:rsidR="00CD5559" w:rsidRPr="001272BC" w:rsidRDefault="00CD5559" w:rsidP="00CD5559">
      <w:pPr>
        <w:ind w:left="720" w:hanging="720"/>
        <w:jc w:val="both"/>
        <w:rPr>
          <w:rFonts w:eastAsia="Times New Roman"/>
        </w:rPr>
      </w:pPr>
      <w:proofErr w:type="gramStart"/>
      <w:r w:rsidRPr="001272BC">
        <w:rPr>
          <w:rFonts w:eastAsia="Times New Roman"/>
        </w:rPr>
        <w:t>Berg, SV, and SK Smith (1978).</w:t>
      </w:r>
      <w:proofErr w:type="gramEnd"/>
      <w:r w:rsidRPr="001272BC">
        <w:rPr>
          <w:rFonts w:eastAsia="Times New Roman"/>
        </w:rPr>
        <w:t xml:space="preserve"> CEO and Board Chairman: A quantitative study of dual vs. unitary board leadership. </w:t>
      </w:r>
      <w:proofErr w:type="gramStart"/>
      <w:r w:rsidRPr="001272BC">
        <w:rPr>
          <w:rFonts w:eastAsia="Times New Roman"/>
        </w:rPr>
        <w:t>Directors and Boards Free Press.</w:t>
      </w:r>
      <w:proofErr w:type="gramEnd"/>
    </w:p>
    <w:p w:rsidR="00CD5559" w:rsidRPr="001272BC" w:rsidRDefault="00CD5559" w:rsidP="00CD5559">
      <w:pPr>
        <w:ind w:left="720" w:hanging="720"/>
        <w:jc w:val="both"/>
        <w:rPr>
          <w:rFonts w:eastAsia="Times New Roman"/>
        </w:rPr>
      </w:pPr>
      <w:proofErr w:type="gramStart"/>
      <w:r w:rsidRPr="001272BC">
        <w:rPr>
          <w:rFonts w:eastAsia="Times New Roman"/>
        </w:rPr>
        <w:t xml:space="preserve">Berger, PG and E </w:t>
      </w:r>
      <w:proofErr w:type="spellStart"/>
      <w:r w:rsidRPr="001272BC">
        <w:rPr>
          <w:rFonts w:eastAsia="Times New Roman"/>
        </w:rPr>
        <w:t>Ofek</w:t>
      </w:r>
      <w:proofErr w:type="spellEnd"/>
      <w:r w:rsidRPr="001272BC">
        <w:rPr>
          <w:rFonts w:eastAsia="Times New Roman"/>
        </w:rPr>
        <w:t xml:space="preserve"> (1995).</w:t>
      </w:r>
      <w:proofErr w:type="gramEnd"/>
      <w:r w:rsidRPr="001272BC">
        <w:rPr>
          <w:rFonts w:eastAsia="Times New Roman"/>
        </w:rPr>
        <w:t xml:space="preserve"> Diversification’s Effect on Firm Value. </w:t>
      </w:r>
      <w:r w:rsidRPr="00F0387F">
        <w:rPr>
          <w:rFonts w:eastAsia="Times New Roman"/>
          <w:i/>
        </w:rPr>
        <w:t>Journal of Financial Economics</w:t>
      </w:r>
      <w:r w:rsidRPr="001272BC">
        <w:rPr>
          <w:rFonts w:eastAsia="Times New Roman"/>
        </w:rPr>
        <w:t xml:space="preserve"> 37(1): 39-65.</w:t>
      </w:r>
    </w:p>
    <w:p w:rsidR="00CD5559" w:rsidRPr="001272BC" w:rsidRDefault="00CD5559" w:rsidP="00CD5559">
      <w:pPr>
        <w:ind w:left="720" w:hanging="720"/>
        <w:jc w:val="both"/>
        <w:rPr>
          <w:rFonts w:eastAsia="Times New Roman"/>
        </w:rPr>
      </w:pPr>
      <w:proofErr w:type="spellStart"/>
      <w:proofErr w:type="gramStart"/>
      <w:r>
        <w:rPr>
          <w:rFonts w:eastAsia="Times New Roman"/>
        </w:rPr>
        <w:t>Berle</w:t>
      </w:r>
      <w:proofErr w:type="spellEnd"/>
      <w:r>
        <w:rPr>
          <w:rFonts w:eastAsia="Times New Roman"/>
        </w:rPr>
        <w:t xml:space="preserve">, AA, and GC Means </w:t>
      </w:r>
      <w:r w:rsidRPr="001272BC">
        <w:rPr>
          <w:rFonts w:eastAsia="Times New Roman"/>
        </w:rPr>
        <w:t>(1932).</w:t>
      </w:r>
      <w:proofErr w:type="gramEnd"/>
      <w:r w:rsidRPr="001272BC">
        <w:rPr>
          <w:rFonts w:eastAsia="Times New Roman"/>
        </w:rPr>
        <w:t xml:space="preserve"> </w:t>
      </w:r>
      <w:proofErr w:type="gramStart"/>
      <w:r w:rsidRPr="001272BC">
        <w:rPr>
          <w:rFonts w:eastAsia="Times New Roman"/>
        </w:rPr>
        <w:t>The Modern Corporation and Private Property.</w:t>
      </w:r>
      <w:proofErr w:type="gramEnd"/>
      <w:r w:rsidRPr="001272BC">
        <w:rPr>
          <w:rFonts w:eastAsia="Times New Roman"/>
        </w:rPr>
        <w:t xml:space="preserve"> New York: Macmillan.</w:t>
      </w:r>
    </w:p>
    <w:p w:rsidR="00CD5559" w:rsidRPr="001272BC" w:rsidRDefault="00CD5559" w:rsidP="00CD5559">
      <w:pPr>
        <w:ind w:left="720" w:hanging="720"/>
        <w:jc w:val="both"/>
        <w:rPr>
          <w:rFonts w:eastAsia="Times New Roman"/>
        </w:rPr>
      </w:pPr>
      <w:r w:rsidRPr="001272BC">
        <w:rPr>
          <w:rFonts w:eastAsia="Times New Roman"/>
        </w:rPr>
        <w:t xml:space="preserve">Black, BS (1992). Institutional Investors and Corporate Governance: the Case for Institutional Voice. </w:t>
      </w:r>
      <w:r w:rsidRPr="00F0387F">
        <w:rPr>
          <w:rFonts w:eastAsia="Times New Roman"/>
          <w:i/>
        </w:rPr>
        <w:t xml:space="preserve">Journal of Applied Corporate Finance </w:t>
      </w:r>
      <w:r w:rsidRPr="001272BC">
        <w:rPr>
          <w:rFonts w:eastAsia="Times New Roman"/>
        </w:rPr>
        <w:t>5(3): 19-32.</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Brainard</w:t>
      </w:r>
      <w:proofErr w:type="spellEnd"/>
      <w:r w:rsidRPr="001272BC">
        <w:rPr>
          <w:rFonts w:eastAsia="Times New Roman"/>
        </w:rPr>
        <w:t>, WC, and J Tobin (1968).</w:t>
      </w:r>
      <w:proofErr w:type="gramEnd"/>
      <w:r w:rsidRPr="001272BC">
        <w:rPr>
          <w:rFonts w:eastAsia="Times New Roman"/>
        </w:rPr>
        <w:t xml:space="preserve"> </w:t>
      </w:r>
      <w:proofErr w:type="gramStart"/>
      <w:r w:rsidRPr="001272BC">
        <w:rPr>
          <w:rFonts w:eastAsia="Times New Roman"/>
        </w:rPr>
        <w:t>Pitfalls in Financial Model Building.</w:t>
      </w:r>
      <w:proofErr w:type="gramEnd"/>
      <w:r w:rsidRPr="001272BC">
        <w:rPr>
          <w:rFonts w:eastAsia="Times New Roman"/>
        </w:rPr>
        <w:t xml:space="preserve"> </w:t>
      </w:r>
      <w:r w:rsidRPr="00F0387F">
        <w:rPr>
          <w:rFonts w:eastAsia="Times New Roman"/>
          <w:i/>
        </w:rPr>
        <w:t xml:space="preserve">American Economic Review </w:t>
      </w:r>
      <w:r w:rsidRPr="001272BC">
        <w:rPr>
          <w:rFonts w:eastAsia="Times New Roman"/>
        </w:rPr>
        <w:t>58(2): 99–122.</w:t>
      </w:r>
    </w:p>
    <w:p w:rsidR="00CD5559" w:rsidRPr="001272BC" w:rsidRDefault="00CD5559" w:rsidP="00CD5559">
      <w:pPr>
        <w:ind w:left="720" w:hanging="720"/>
        <w:jc w:val="both"/>
        <w:rPr>
          <w:rFonts w:eastAsia="Times New Roman"/>
        </w:rPr>
      </w:pPr>
      <w:proofErr w:type="gramStart"/>
      <w:r w:rsidRPr="001272BC">
        <w:rPr>
          <w:rFonts w:eastAsia="Times New Roman"/>
        </w:rPr>
        <w:t>Carney, M (2005).</w:t>
      </w:r>
      <w:proofErr w:type="gramEnd"/>
      <w:r w:rsidRPr="001272BC">
        <w:rPr>
          <w:rFonts w:eastAsia="Times New Roman"/>
        </w:rPr>
        <w:t xml:space="preserve"> </w:t>
      </w:r>
      <w:proofErr w:type="gramStart"/>
      <w:r w:rsidRPr="001272BC">
        <w:rPr>
          <w:rFonts w:eastAsia="Times New Roman"/>
        </w:rPr>
        <w:t>Corporate Governance and Competitive Advantage in Family-Controlled Firms.</w:t>
      </w:r>
      <w:proofErr w:type="gramEnd"/>
      <w:r w:rsidRPr="001272BC">
        <w:rPr>
          <w:rFonts w:eastAsia="Times New Roman"/>
        </w:rPr>
        <w:t xml:space="preserve"> </w:t>
      </w:r>
      <w:r w:rsidRPr="00F0387F">
        <w:rPr>
          <w:rFonts w:eastAsia="Times New Roman"/>
          <w:i/>
        </w:rPr>
        <w:t>Entrepreneurship Theory and Practice</w:t>
      </w:r>
      <w:r w:rsidRPr="001272BC">
        <w:rPr>
          <w:rFonts w:eastAsia="Times New Roman"/>
        </w:rPr>
        <w:t xml:space="preserve"> 29(3): 249-265.</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Chaganti</w:t>
      </w:r>
      <w:proofErr w:type="spellEnd"/>
      <w:r w:rsidRPr="001272BC">
        <w:rPr>
          <w:rFonts w:eastAsia="Times New Roman"/>
        </w:rPr>
        <w:t xml:space="preserve">, R, V </w:t>
      </w:r>
      <w:proofErr w:type="spellStart"/>
      <w:r w:rsidRPr="001272BC">
        <w:rPr>
          <w:rFonts w:eastAsia="Times New Roman"/>
        </w:rPr>
        <w:t>Mahajan</w:t>
      </w:r>
      <w:proofErr w:type="spellEnd"/>
      <w:r w:rsidRPr="001272BC">
        <w:rPr>
          <w:rFonts w:eastAsia="Times New Roman"/>
        </w:rPr>
        <w:t xml:space="preserve"> and S Sharma (1985).</w:t>
      </w:r>
      <w:proofErr w:type="gramEnd"/>
      <w:r w:rsidRPr="001272BC">
        <w:rPr>
          <w:rFonts w:eastAsia="Times New Roman"/>
        </w:rPr>
        <w:t xml:space="preserve"> </w:t>
      </w:r>
      <w:proofErr w:type="gramStart"/>
      <w:r w:rsidRPr="001272BC">
        <w:rPr>
          <w:rFonts w:eastAsia="Times New Roman"/>
        </w:rPr>
        <w:t>Corporate board size, composition and corporate failures in the retailing industry.</w:t>
      </w:r>
      <w:proofErr w:type="gramEnd"/>
      <w:r w:rsidRPr="001272BC">
        <w:rPr>
          <w:rFonts w:eastAsia="Times New Roman"/>
        </w:rPr>
        <w:t xml:space="preserve"> </w:t>
      </w:r>
      <w:r w:rsidRPr="00F0387F">
        <w:rPr>
          <w:rFonts w:eastAsia="Times New Roman"/>
          <w:i/>
        </w:rPr>
        <w:t>Journal of Management Studies</w:t>
      </w:r>
      <w:r w:rsidRPr="001272BC">
        <w:rPr>
          <w:rFonts w:eastAsia="Times New Roman"/>
        </w:rPr>
        <w:t xml:space="preserve"> 22(4): 400-417.</w:t>
      </w:r>
    </w:p>
    <w:p w:rsidR="00CD5559" w:rsidRPr="001272BC" w:rsidRDefault="00CD5559" w:rsidP="00CD5559">
      <w:pPr>
        <w:ind w:left="720" w:hanging="720"/>
        <w:jc w:val="both"/>
        <w:rPr>
          <w:rFonts w:eastAsia="Times New Roman"/>
        </w:rPr>
      </w:pPr>
      <w:r w:rsidRPr="001272BC">
        <w:rPr>
          <w:rFonts w:eastAsia="Times New Roman"/>
        </w:rPr>
        <w:t xml:space="preserve">Cho, M (1998). Ownership Structure, Investment, and the Corporate Value: An Empirical Analysis. </w:t>
      </w:r>
      <w:r w:rsidRPr="00F0387F">
        <w:rPr>
          <w:rFonts w:eastAsia="Times New Roman"/>
          <w:i/>
        </w:rPr>
        <w:t>Journal of Financial Economics</w:t>
      </w:r>
      <w:r w:rsidRPr="001272BC">
        <w:rPr>
          <w:rFonts w:eastAsia="Times New Roman"/>
        </w:rPr>
        <w:t xml:space="preserve"> 47: 103–121.</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Claessens</w:t>
      </w:r>
      <w:proofErr w:type="spellEnd"/>
      <w:r w:rsidRPr="001272BC">
        <w:rPr>
          <w:rFonts w:eastAsia="Times New Roman"/>
        </w:rPr>
        <w:t xml:space="preserve">, S, S </w:t>
      </w:r>
      <w:proofErr w:type="spellStart"/>
      <w:r w:rsidRPr="001272BC">
        <w:rPr>
          <w:rFonts w:eastAsia="Times New Roman"/>
        </w:rPr>
        <w:t>Djankov</w:t>
      </w:r>
      <w:proofErr w:type="spellEnd"/>
      <w:r w:rsidRPr="001272BC">
        <w:rPr>
          <w:rFonts w:eastAsia="Times New Roman"/>
        </w:rPr>
        <w:t xml:space="preserve"> and L Lang (2000).</w:t>
      </w:r>
      <w:proofErr w:type="gramEnd"/>
      <w:r w:rsidRPr="001272BC">
        <w:rPr>
          <w:rFonts w:eastAsia="Times New Roman"/>
        </w:rPr>
        <w:t xml:space="preserve"> </w:t>
      </w:r>
      <w:proofErr w:type="gramStart"/>
      <w:r w:rsidRPr="001272BC">
        <w:rPr>
          <w:rFonts w:eastAsia="Times New Roman"/>
        </w:rPr>
        <w:t>The separation of ownership and control in East Asian Corporations.</w:t>
      </w:r>
      <w:proofErr w:type="gramEnd"/>
      <w:r w:rsidRPr="001272BC">
        <w:rPr>
          <w:rFonts w:eastAsia="Times New Roman"/>
        </w:rPr>
        <w:t xml:space="preserve"> </w:t>
      </w:r>
      <w:r w:rsidRPr="00F0387F">
        <w:rPr>
          <w:rFonts w:eastAsia="Times New Roman"/>
          <w:i/>
        </w:rPr>
        <w:t>Journal of Financial Economics</w:t>
      </w:r>
      <w:r w:rsidRPr="001272BC">
        <w:rPr>
          <w:rFonts w:eastAsia="Times New Roman"/>
        </w:rPr>
        <w:t xml:space="preserve"> 58(1-2): 81–112.</w:t>
      </w:r>
    </w:p>
    <w:p w:rsidR="00CD5559" w:rsidRPr="001272BC" w:rsidRDefault="00CD5559" w:rsidP="00CD5559">
      <w:pPr>
        <w:ind w:left="720" w:hanging="720"/>
        <w:jc w:val="both"/>
        <w:rPr>
          <w:rFonts w:eastAsia="Times New Roman"/>
        </w:rPr>
      </w:pPr>
      <w:proofErr w:type="spellStart"/>
      <w:r w:rsidRPr="001272BC">
        <w:rPr>
          <w:rFonts w:eastAsia="Times New Roman"/>
        </w:rPr>
        <w:t>Colli</w:t>
      </w:r>
      <w:proofErr w:type="spellEnd"/>
      <w:r w:rsidRPr="001272BC">
        <w:rPr>
          <w:rFonts w:eastAsia="Times New Roman"/>
        </w:rPr>
        <w:t xml:space="preserve">, A, P </w:t>
      </w:r>
      <w:proofErr w:type="spellStart"/>
      <w:r w:rsidRPr="001272BC">
        <w:rPr>
          <w:rFonts w:eastAsia="Times New Roman"/>
        </w:rPr>
        <w:t>Fernández</w:t>
      </w:r>
      <w:proofErr w:type="spellEnd"/>
      <w:r w:rsidRPr="001272BC">
        <w:rPr>
          <w:rFonts w:eastAsia="Times New Roman"/>
        </w:rPr>
        <w:t xml:space="preserve"> </w:t>
      </w:r>
      <w:proofErr w:type="spellStart"/>
      <w:r w:rsidRPr="001272BC">
        <w:rPr>
          <w:rFonts w:eastAsia="Times New Roman"/>
        </w:rPr>
        <w:t>Pérez</w:t>
      </w:r>
      <w:proofErr w:type="spellEnd"/>
      <w:r w:rsidRPr="001272BC">
        <w:rPr>
          <w:rFonts w:eastAsia="Times New Roman"/>
        </w:rPr>
        <w:t xml:space="preserve"> and MB Rose (2003). </w:t>
      </w:r>
      <w:proofErr w:type="gramStart"/>
      <w:r w:rsidRPr="001272BC">
        <w:rPr>
          <w:rFonts w:eastAsia="Times New Roman"/>
        </w:rPr>
        <w:t>National determinants of Family Firm Development?</w:t>
      </w:r>
      <w:proofErr w:type="gramEnd"/>
      <w:r w:rsidRPr="001272BC">
        <w:rPr>
          <w:rFonts w:eastAsia="Times New Roman"/>
        </w:rPr>
        <w:t xml:space="preserve"> </w:t>
      </w:r>
      <w:proofErr w:type="gramStart"/>
      <w:r w:rsidRPr="001272BC">
        <w:rPr>
          <w:rFonts w:eastAsia="Times New Roman"/>
        </w:rPr>
        <w:t xml:space="preserve">Family Firms in Britain, Spain and Italy in the Nineteenth and Twentieth </w:t>
      </w:r>
      <w:proofErr w:type="spellStart"/>
      <w:r w:rsidRPr="001272BC">
        <w:rPr>
          <w:rFonts w:eastAsia="Times New Roman"/>
        </w:rPr>
        <w:t>Centuries</w:t>
      </w:r>
      <w:proofErr w:type="spellEnd"/>
      <w:r w:rsidRPr="001272BC">
        <w:rPr>
          <w:rFonts w:eastAsia="Times New Roman"/>
        </w:rPr>
        <w:t>.</w:t>
      </w:r>
      <w:proofErr w:type="gramEnd"/>
      <w:r w:rsidRPr="001272BC">
        <w:rPr>
          <w:rFonts w:eastAsia="Times New Roman"/>
        </w:rPr>
        <w:t xml:space="preserve"> </w:t>
      </w:r>
      <w:r w:rsidRPr="00F0387F">
        <w:rPr>
          <w:rFonts w:eastAsia="Times New Roman"/>
          <w:i/>
        </w:rPr>
        <w:t>Enterprise &amp; Society</w:t>
      </w:r>
      <w:r w:rsidRPr="001272BC">
        <w:rPr>
          <w:rFonts w:eastAsia="Times New Roman"/>
        </w:rPr>
        <w:t xml:space="preserve"> 4(1): 28–64.</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Corbetta</w:t>
      </w:r>
      <w:proofErr w:type="spellEnd"/>
      <w:r w:rsidRPr="001272BC">
        <w:rPr>
          <w:rFonts w:eastAsia="Times New Roman"/>
        </w:rPr>
        <w:t xml:space="preserve">, G and CA </w:t>
      </w:r>
      <w:proofErr w:type="spellStart"/>
      <w:r w:rsidRPr="001272BC">
        <w:rPr>
          <w:rFonts w:eastAsia="Times New Roman"/>
        </w:rPr>
        <w:t>Salvato</w:t>
      </w:r>
      <w:proofErr w:type="spellEnd"/>
      <w:r w:rsidRPr="001272BC">
        <w:rPr>
          <w:rFonts w:eastAsia="Times New Roman"/>
        </w:rPr>
        <w:t xml:space="preserve"> (2004).</w:t>
      </w:r>
      <w:proofErr w:type="gramEnd"/>
      <w:r w:rsidRPr="001272BC">
        <w:rPr>
          <w:rFonts w:eastAsia="Times New Roman"/>
        </w:rPr>
        <w:t xml:space="preserve"> The Board of Directors in Family Firms: One Size Fits All? </w:t>
      </w:r>
      <w:r w:rsidRPr="00F0387F">
        <w:rPr>
          <w:rFonts w:eastAsia="Times New Roman"/>
          <w:i/>
        </w:rPr>
        <w:t>Family Business Review</w:t>
      </w:r>
      <w:r w:rsidRPr="001272BC">
        <w:rPr>
          <w:rFonts w:eastAsia="Times New Roman"/>
        </w:rPr>
        <w:t xml:space="preserve"> 17(2): 119-134.</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Cordeiro</w:t>
      </w:r>
      <w:proofErr w:type="spellEnd"/>
      <w:r w:rsidRPr="001272BC">
        <w:rPr>
          <w:rFonts w:eastAsia="Times New Roman"/>
        </w:rPr>
        <w:t xml:space="preserve">, JJ, and R </w:t>
      </w:r>
      <w:proofErr w:type="spellStart"/>
      <w:r w:rsidRPr="001272BC">
        <w:rPr>
          <w:rFonts w:eastAsia="Times New Roman"/>
        </w:rPr>
        <w:t>Veliyath</w:t>
      </w:r>
      <w:proofErr w:type="spellEnd"/>
      <w:r w:rsidRPr="001272BC">
        <w:rPr>
          <w:rFonts w:eastAsia="Times New Roman"/>
        </w:rPr>
        <w:t xml:space="preserve"> (2003).</w:t>
      </w:r>
      <w:proofErr w:type="gramEnd"/>
      <w:r w:rsidRPr="001272BC">
        <w:rPr>
          <w:rFonts w:eastAsia="Times New Roman"/>
        </w:rPr>
        <w:t xml:space="preserve"> Beyond pay for performance: A panel study of the determinants of CEO compensation. </w:t>
      </w:r>
      <w:r w:rsidRPr="00F0387F">
        <w:rPr>
          <w:rFonts w:eastAsia="Times New Roman"/>
          <w:i/>
        </w:rPr>
        <w:t>American Business Review</w:t>
      </w:r>
      <w:r w:rsidRPr="001272BC">
        <w:rPr>
          <w:rFonts w:eastAsia="Times New Roman"/>
        </w:rPr>
        <w:t xml:space="preserve"> 21(1): 56-66.</w:t>
      </w:r>
    </w:p>
    <w:p w:rsidR="00CD5559" w:rsidRPr="001272BC" w:rsidRDefault="00CD5559" w:rsidP="00CD5559">
      <w:pPr>
        <w:ind w:left="720" w:hanging="720"/>
        <w:jc w:val="both"/>
        <w:rPr>
          <w:rFonts w:eastAsia="Times New Roman"/>
        </w:rPr>
      </w:pPr>
      <w:r w:rsidRPr="001272BC">
        <w:rPr>
          <w:rFonts w:eastAsia="Times New Roman"/>
        </w:rPr>
        <w:t xml:space="preserve">Core, JE, RW </w:t>
      </w:r>
      <w:proofErr w:type="spellStart"/>
      <w:r w:rsidRPr="001272BC">
        <w:rPr>
          <w:rFonts w:eastAsia="Times New Roman"/>
        </w:rPr>
        <w:t>Holthausen</w:t>
      </w:r>
      <w:proofErr w:type="spellEnd"/>
      <w:r w:rsidRPr="001272BC">
        <w:rPr>
          <w:rFonts w:eastAsia="Times New Roman"/>
        </w:rPr>
        <w:t xml:space="preserve"> and DF </w:t>
      </w:r>
      <w:proofErr w:type="spellStart"/>
      <w:r w:rsidRPr="001272BC">
        <w:rPr>
          <w:rFonts w:eastAsia="Times New Roman"/>
        </w:rPr>
        <w:t>Larcker</w:t>
      </w:r>
      <w:proofErr w:type="spellEnd"/>
      <w:r w:rsidRPr="001272BC">
        <w:rPr>
          <w:rFonts w:eastAsia="Times New Roman"/>
        </w:rPr>
        <w:t xml:space="preserve"> (1999) </w:t>
      </w:r>
      <w:proofErr w:type="gramStart"/>
      <w:r w:rsidRPr="001272BC">
        <w:rPr>
          <w:rFonts w:eastAsia="Times New Roman"/>
        </w:rPr>
        <w:t>Corporate</w:t>
      </w:r>
      <w:proofErr w:type="gramEnd"/>
      <w:r w:rsidRPr="001272BC">
        <w:rPr>
          <w:rFonts w:eastAsia="Times New Roman"/>
        </w:rPr>
        <w:t xml:space="preserve"> governance, chief executive officer compensation, and firm performance. </w:t>
      </w:r>
      <w:r w:rsidRPr="00F0387F">
        <w:rPr>
          <w:rFonts w:eastAsia="Times New Roman"/>
          <w:i/>
        </w:rPr>
        <w:t xml:space="preserve">Journal of Financial Economics </w:t>
      </w:r>
      <w:r w:rsidRPr="001272BC">
        <w:rPr>
          <w:rFonts w:eastAsia="Times New Roman"/>
        </w:rPr>
        <w:t>51: 371-406.</w:t>
      </w:r>
    </w:p>
    <w:p w:rsidR="00CD5559" w:rsidRPr="001272BC" w:rsidRDefault="00CD5559" w:rsidP="00CD5559">
      <w:pPr>
        <w:pStyle w:val="ListParagraph"/>
        <w:ind w:left="720" w:hanging="720"/>
        <w:jc w:val="both"/>
      </w:pPr>
      <w:r w:rsidRPr="001272BC">
        <w:t>Cornett, M</w:t>
      </w:r>
      <w:r>
        <w:t>M</w:t>
      </w:r>
      <w:r w:rsidRPr="001272BC">
        <w:t xml:space="preserve">, AJ Marcus, A Saunders, and H </w:t>
      </w:r>
      <w:proofErr w:type="spellStart"/>
      <w:r w:rsidRPr="001272BC">
        <w:t>Tehranian</w:t>
      </w:r>
      <w:proofErr w:type="spellEnd"/>
      <w:r w:rsidRPr="001272BC">
        <w:t xml:space="preserve"> (2007) </w:t>
      </w:r>
      <w:proofErr w:type="gramStart"/>
      <w:r w:rsidRPr="001272BC">
        <w:t>The</w:t>
      </w:r>
      <w:proofErr w:type="gramEnd"/>
      <w:r w:rsidRPr="001272BC">
        <w:t xml:space="preserve"> impact of institutional ownership on corporate operating performance </w:t>
      </w:r>
      <w:r w:rsidRPr="001272BC">
        <w:rPr>
          <w:i/>
        </w:rPr>
        <w:t>Journal of Banking &amp; Finance</w:t>
      </w:r>
      <w:r w:rsidRPr="001272BC">
        <w:t xml:space="preserve"> 31: 1771–1794 </w:t>
      </w:r>
    </w:p>
    <w:p w:rsidR="00CD5559" w:rsidRPr="001272BC" w:rsidRDefault="00CD5559" w:rsidP="00CD5559">
      <w:pPr>
        <w:pStyle w:val="EndnoteText"/>
        <w:ind w:left="720" w:hanging="720"/>
        <w:jc w:val="both"/>
        <w:rPr>
          <w:sz w:val="24"/>
          <w:szCs w:val="24"/>
        </w:rPr>
      </w:pPr>
      <w:proofErr w:type="spellStart"/>
      <w:proofErr w:type="gramStart"/>
      <w:r w:rsidRPr="001272BC">
        <w:rPr>
          <w:sz w:val="24"/>
          <w:szCs w:val="24"/>
        </w:rPr>
        <w:lastRenderedPageBreak/>
        <w:t>Cubbin</w:t>
      </w:r>
      <w:proofErr w:type="spellEnd"/>
      <w:r w:rsidRPr="001272BC">
        <w:rPr>
          <w:sz w:val="24"/>
          <w:szCs w:val="24"/>
        </w:rPr>
        <w:t>, JS</w:t>
      </w:r>
      <w:r>
        <w:rPr>
          <w:sz w:val="24"/>
          <w:szCs w:val="24"/>
        </w:rPr>
        <w:t>,</w:t>
      </w:r>
      <w:r w:rsidRPr="001272BC">
        <w:rPr>
          <w:sz w:val="24"/>
          <w:szCs w:val="24"/>
        </w:rPr>
        <w:t xml:space="preserve"> and D Leech</w:t>
      </w:r>
      <w:r>
        <w:rPr>
          <w:sz w:val="24"/>
          <w:szCs w:val="24"/>
        </w:rPr>
        <w:t xml:space="preserve"> (1983)</w:t>
      </w:r>
      <w:r w:rsidRPr="001272BC">
        <w:rPr>
          <w:sz w:val="24"/>
          <w:szCs w:val="24"/>
        </w:rPr>
        <w:t>.</w:t>
      </w:r>
      <w:proofErr w:type="gramEnd"/>
      <w:r w:rsidRPr="001272BC">
        <w:rPr>
          <w:sz w:val="24"/>
          <w:szCs w:val="24"/>
        </w:rPr>
        <w:t xml:space="preserve"> “The Effect of Shareholding Dispersion on the Degree of Control in British Companies: Theory and Measurement.” </w:t>
      </w:r>
      <w:r w:rsidRPr="001272BC">
        <w:rPr>
          <w:i/>
          <w:iCs/>
          <w:sz w:val="24"/>
          <w:szCs w:val="24"/>
        </w:rPr>
        <w:t>The Economic Journal</w:t>
      </w:r>
      <w:r w:rsidRPr="001272BC">
        <w:rPr>
          <w:sz w:val="24"/>
          <w:szCs w:val="24"/>
        </w:rPr>
        <w:t xml:space="preserve"> 93: 351-369.</w:t>
      </w:r>
    </w:p>
    <w:p w:rsidR="00CD5559" w:rsidRPr="001272BC" w:rsidRDefault="00CD5559" w:rsidP="00CD5559">
      <w:pPr>
        <w:pStyle w:val="EndnoteText"/>
        <w:ind w:left="720" w:hanging="720"/>
        <w:jc w:val="both"/>
        <w:rPr>
          <w:sz w:val="24"/>
          <w:szCs w:val="24"/>
        </w:rPr>
      </w:pPr>
      <w:proofErr w:type="gramStart"/>
      <w:r w:rsidRPr="001272BC">
        <w:rPr>
          <w:sz w:val="24"/>
          <w:szCs w:val="24"/>
        </w:rPr>
        <w:t>Cummins, J</w:t>
      </w:r>
      <w:r>
        <w:rPr>
          <w:sz w:val="24"/>
          <w:szCs w:val="24"/>
        </w:rPr>
        <w:t>D,</w:t>
      </w:r>
      <w:r w:rsidRPr="001272BC">
        <w:rPr>
          <w:sz w:val="24"/>
          <w:szCs w:val="24"/>
        </w:rPr>
        <w:t xml:space="preserve"> and M</w:t>
      </w:r>
      <w:r>
        <w:rPr>
          <w:sz w:val="24"/>
          <w:szCs w:val="24"/>
        </w:rPr>
        <w:t>A</w:t>
      </w:r>
      <w:r w:rsidRPr="001272BC">
        <w:rPr>
          <w:sz w:val="24"/>
          <w:szCs w:val="24"/>
        </w:rPr>
        <w:t xml:space="preserve"> Weiss.</w:t>
      </w:r>
      <w:proofErr w:type="gramEnd"/>
      <w:r w:rsidRPr="001272BC">
        <w:rPr>
          <w:sz w:val="24"/>
          <w:szCs w:val="24"/>
        </w:rPr>
        <w:t xml:space="preserve"> </w:t>
      </w:r>
      <w:proofErr w:type="gramStart"/>
      <w:r w:rsidRPr="001272BC">
        <w:rPr>
          <w:sz w:val="24"/>
          <w:szCs w:val="24"/>
        </w:rPr>
        <w:t>“Analyzing firm performance in the insurance industry using frontier efficiency methods.”</w:t>
      </w:r>
      <w:proofErr w:type="gramEnd"/>
      <w:r w:rsidRPr="001272BC">
        <w:rPr>
          <w:sz w:val="24"/>
          <w:szCs w:val="24"/>
        </w:rPr>
        <w:t xml:space="preserve"> </w:t>
      </w:r>
      <w:proofErr w:type="gramStart"/>
      <w:r w:rsidRPr="001272BC">
        <w:rPr>
          <w:sz w:val="24"/>
          <w:szCs w:val="24"/>
        </w:rPr>
        <w:t>Working paper.</w:t>
      </w:r>
      <w:proofErr w:type="gramEnd"/>
      <w:r w:rsidRPr="001272BC">
        <w:rPr>
          <w:sz w:val="24"/>
          <w:szCs w:val="24"/>
        </w:rPr>
        <w:t xml:space="preserve"> </w:t>
      </w:r>
      <w:proofErr w:type="gramStart"/>
      <w:r w:rsidRPr="001272BC">
        <w:rPr>
          <w:sz w:val="24"/>
          <w:szCs w:val="24"/>
        </w:rPr>
        <w:t>Wharton Financial Institutions Center, 1998.</w:t>
      </w:r>
      <w:proofErr w:type="gramEnd"/>
    </w:p>
    <w:p w:rsidR="00CD5559" w:rsidRPr="001272BC" w:rsidRDefault="00CD5559" w:rsidP="00CD5559">
      <w:pPr>
        <w:pStyle w:val="Default"/>
        <w:widowControl w:val="0"/>
        <w:autoSpaceDE/>
        <w:autoSpaceDN/>
        <w:adjustRightInd/>
        <w:ind w:left="720" w:hanging="720"/>
        <w:jc w:val="both"/>
        <w:rPr>
          <w:color w:val="auto"/>
        </w:rPr>
      </w:pPr>
      <w:r w:rsidRPr="001272BC">
        <w:rPr>
          <w:color w:val="auto"/>
        </w:rPr>
        <w:t>Cummins, J</w:t>
      </w:r>
      <w:r>
        <w:rPr>
          <w:color w:val="auto"/>
        </w:rPr>
        <w:t>D</w:t>
      </w:r>
      <w:r w:rsidRPr="001272BC">
        <w:rPr>
          <w:color w:val="auto"/>
        </w:rPr>
        <w:t xml:space="preserve">, X </w:t>
      </w:r>
      <w:proofErr w:type="spellStart"/>
      <w:r w:rsidRPr="001272BC">
        <w:rPr>
          <w:color w:val="auto"/>
        </w:rPr>
        <w:t>Xie</w:t>
      </w:r>
      <w:proofErr w:type="spellEnd"/>
      <w:r w:rsidRPr="001272BC">
        <w:rPr>
          <w:color w:val="auto"/>
        </w:rPr>
        <w:t xml:space="preserve"> (2013). “Efficiency, productivity, and scale economies in the U.S. property-liability insurance industry” </w:t>
      </w:r>
      <w:r w:rsidRPr="001272BC">
        <w:rPr>
          <w:i/>
          <w:color w:val="auto"/>
        </w:rPr>
        <w:t>Journal of Productivity Analysis</w:t>
      </w:r>
      <w:r w:rsidRPr="001272BC">
        <w:rPr>
          <w:color w:val="auto"/>
        </w:rPr>
        <w:t xml:space="preserve"> 39(2): 141-164</w:t>
      </w:r>
    </w:p>
    <w:p w:rsidR="00CD5559" w:rsidRPr="001272BC" w:rsidRDefault="00CD5559" w:rsidP="00CD5559">
      <w:pPr>
        <w:pStyle w:val="Default"/>
        <w:widowControl w:val="0"/>
        <w:autoSpaceDE/>
        <w:autoSpaceDN/>
        <w:adjustRightInd/>
        <w:ind w:left="720" w:hanging="720"/>
        <w:jc w:val="both"/>
        <w:rPr>
          <w:color w:val="auto"/>
        </w:rPr>
      </w:pPr>
      <w:proofErr w:type="spellStart"/>
      <w:r w:rsidRPr="001272BC">
        <w:rPr>
          <w:color w:val="auto"/>
        </w:rPr>
        <w:t>Damordian</w:t>
      </w:r>
      <w:proofErr w:type="spellEnd"/>
      <w:r w:rsidRPr="001272BC">
        <w:rPr>
          <w:color w:val="auto"/>
        </w:rPr>
        <w:t>, A. (2009) “Valuing Financial Services Firms” published April 2009; Viewed on January 11, 2016</w:t>
      </w:r>
      <w:r w:rsidR="00516FAE">
        <w:rPr>
          <w:color w:val="auto"/>
        </w:rPr>
        <w:t xml:space="preserve"> </w:t>
      </w:r>
      <w:r w:rsidRPr="001272BC">
        <w:rPr>
          <w:color w:val="auto"/>
        </w:rPr>
        <w:t>people.stern.nyu.edu/</w:t>
      </w:r>
      <w:proofErr w:type="spellStart"/>
      <w:r w:rsidRPr="001272BC">
        <w:rPr>
          <w:color w:val="auto"/>
        </w:rPr>
        <w:t>adamodar</w:t>
      </w:r>
      <w:proofErr w:type="spellEnd"/>
      <w:r w:rsidRPr="001272BC">
        <w:rPr>
          <w:color w:val="auto"/>
        </w:rPr>
        <w:t>/</w:t>
      </w:r>
      <w:proofErr w:type="spellStart"/>
      <w:r w:rsidRPr="001272BC">
        <w:rPr>
          <w:color w:val="auto"/>
        </w:rPr>
        <w:t>pdfiles</w:t>
      </w:r>
      <w:proofErr w:type="spellEnd"/>
      <w:r w:rsidRPr="001272BC">
        <w:rPr>
          <w:color w:val="auto"/>
        </w:rPr>
        <w:t>/papers/finfirm09.pdf.</w:t>
      </w:r>
    </w:p>
    <w:p w:rsidR="00CD5559" w:rsidRPr="001272BC" w:rsidRDefault="00CD5559" w:rsidP="00CD5559">
      <w:pPr>
        <w:ind w:left="720" w:hanging="720"/>
        <w:jc w:val="both"/>
        <w:rPr>
          <w:rFonts w:eastAsia="Times New Roman"/>
        </w:rPr>
      </w:pPr>
      <w:r w:rsidRPr="001272BC">
        <w:rPr>
          <w:rFonts w:eastAsia="Times New Roman"/>
        </w:rPr>
        <w:t xml:space="preserve">Davis, G (2005). </w:t>
      </w:r>
      <w:proofErr w:type="gramStart"/>
      <w:r w:rsidRPr="001272BC">
        <w:rPr>
          <w:rFonts w:eastAsia="Times New Roman"/>
        </w:rPr>
        <w:t>New Directions in Corporate Governance.</w:t>
      </w:r>
      <w:proofErr w:type="gramEnd"/>
      <w:r w:rsidRPr="001272BC">
        <w:rPr>
          <w:rFonts w:eastAsia="Times New Roman"/>
        </w:rPr>
        <w:t xml:space="preserve"> </w:t>
      </w:r>
      <w:r w:rsidRPr="00F0387F">
        <w:rPr>
          <w:rFonts w:eastAsia="Times New Roman"/>
          <w:i/>
        </w:rPr>
        <w:t>Annual Review of Sociology</w:t>
      </w:r>
      <w:r w:rsidRPr="001272BC">
        <w:rPr>
          <w:rFonts w:eastAsia="Times New Roman"/>
        </w:rPr>
        <w:t xml:space="preserve"> 31: 143-162.</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Demb</w:t>
      </w:r>
      <w:proofErr w:type="spellEnd"/>
      <w:r w:rsidRPr="001272BC">
        <w:rPr>
          <w:rFonts w:eastAsia="Times New Roman"/>
        </w:rPr>
        <w:t xml:space="preserve">, A and FF </w:t>
      </w:r>
      <w:proofErr w:type="spellStart"/>
      <w:r w:rsidRPr="001272BC">
        <w:rPr>
          <w:rFonts w:eastAsia="Times New Roman"/>
        </w:rPr>
        <w:t>Neubauer</w:t>
      </w:r>
      <w:proofErr w:type="spellEnd"/>
      <w:r w:rsidRPr="001272BC">
        <w:rPr>
          <w:rFonts w:eastAsia="Times New Roman"/>
        </w:rPr>
        <w:t xml:space="preserve"> (1992).</w:t>
      </w:r>
      <w:proofErr w:type="gramEnd"/>
      <w:r w:rsidRPr="001272BC">
        <w:rPr>
          <w:rFonts w:eastAsia="Times New Roman"/>
        </w:rPr>
        <w:t xml:space="preserve"> The corporate board: Confronting the paradoxes. </w:t>
      </w:r>
      <w:r w:rsidRPr="00F0387F">
        <w:rPr>
          <w:rFonts w:eastAsia="Times New Roman"/>
          <w:i/>
        </w:rPr>
        <w:t>Long Range Planning</w:t>
      </w:r>
      <w:r w:rsidRPr="001272BC">
        <w:rPr>
          <w:rFonts w:eastAsia="Times New Roman"/>
        </w:rPr>
        <w:t xml:space="preserve"> 25(3): 9-20.</w:t>
      </w:r>
    </w:p>
    <w:p w:rsidR="00CD5559" w:rsidRPr="001272BC" w:rsidRDefault="00CD5559" w:rsidP="00CD5559">
      <w:pPr>
        <w:pStyle w:val="Default"/>
        <w:widowControl w:val="0"/>
        <w:autoSpaceDE/>
        <w:autoSpaceDN/>
        <w:adjustRightInd/>
        <w:ind w:left="720" w:hanging="720"/>
        <w:jc w:val="both"/>
        <w:rPr>
          <w:color w:val="auto"/>
        </w:rPr>
      </w:pPr>
      <w:r w:rsidRPr="001272BC">
        <w:rPr>
          <w:color w:val="auto"/>
        </w:rPr>
        <w:t xml:space="preserve">Denis, DJ, DK Denis, and A </w:t>
      </w:r>
      <w:proofErr w:type="spellStart"/>
      <w:r w:rsidRPr="001272BC">
        <w:rPr>
          <w:color w:val="auto"/>
        </w:rPr>
        <w:t>Sarin</w:t>
      </w:r>
      <w:proofErr w:type="spellEnd"/>
      <w:r w:rsidRPr="001272BC">
        <w:rPr>
          <w:color w:val="auto"/>
        </w:rPr>
        <w:t xml:space="preserve"> (1997) “Agency Problems, Equity Ownership, and Corporate Diversification” </w:t>
      </w:r>
      <w:r w:rsidRPr="001272BC">
        <w:rPr>
          <w:i/>
          <w:color w:val="auto"/>
        </w:rPr>
        <w:t>The Journal of Finance</w:t>
      </w:r>
      <w:r w:rsidRPr="001272BC">
        <w:rPr>
          <w:color w:val="auto"/>
        </w:rPr>
        <w:t xml:space="preserve"> 52(1): 135-160</w:t>
      </w:r>
    </w:p>
    <w:p w:rsidR="00CD5559" w:rsidRPr="001272BC" w:rsidRDefault="00CD5559" w:rsidP="00CD5559">
      <w:pPr>
        <w:pStyle w:val="EndnoteText"/>
        <w:ind w:left="720" w:hanging="720"/>
        <w:jc w:val="both"/>
        <w:rPr>
          <w:sz w:val="24"/>
          <w:szCs w:val="24"/>
        </w:rPr>
      </w:pPr>
      <w:r w:rsidRPr="001272BC">
        <w:rPr>
          <w:sz w:val="24"/>
          <w:szCs w:val="24"/>
        </w:rPr>
        <w:t>Doherty, N</w:t>
      </w:r>
      <w:r>
        <w:rPr>
          <w:sz w:val="24"/>
          <w:szCs w:val="24"/>
        </w:rPr>
        <w:t xml:space="preserve"> (1981).</w:t>
      </w:r>
      <w:r w:rsidRPr="001272BC">
        <w:rPr>
          <w:sz w:val="24"/>
          <w:szCs w:val="24"/>
        </w:rPr>
        <w:t xml:space="preserve"> </w:t>
      </w:r>
      <w:proofErr w:type="gramStart"/>
      <w:r w:rsidRPr="001272BC">
        <w:rPr>
          <w:sz w:val="24"/>
          <w:szCs w:val="24"/>
        </w:rPr>
        <w:t>“The measurement of output and economies of scale in property-liability insurance.”</w:t>
      </w:r>
      <w:proofErr w:type="gramEnd"/>
      <w:r w:rsidRPr="001272BC">
        <w:rPr>
          <w:sz w:val="24"/>
          <w:szCs w:val="24"/>
        </w:rPr>
        <w:t xml:space="preserve"> </w:t>
      </w:r>
      <w:r w:rsidRPr="001272BC">
        <w:rPr>
          <w:i/>
          <w:iCs/>
          <w:sz w:val="24"/>
          <w:szCs w:val="24"/>
        </w:rPr>
        <w:t>Journal of Risk and Insurance</w:t>
      </w:r>
      <w:r w:rsidRPr="001272BC">
        <w:rPr>
          <w:sz w:val="24"/>
          <w:szCs w:val="24"/>
        </w:rPr>
        <w:t xml:space="preserve"> 48</w:t>
      </w:r>
      <w:r>
        <w:rPr>
          <w:sz w:val="24"/>
          <w:szCs w:val="24"/>
        </w:rPr>
        <w:t>(</w:t>
      </w:r>
      <w:r w:rsidRPr="001272BC">
        <w:rPr>
          <w:sz w:val="24"/>
          <w:szCs w:val="24"/>
        </w:rPr>
        <w:t>3): 390-402.</w:t>
      </w:r>
    </w:p>
    <w:p w:rsidR="00CD5559" w:rsidRPr="001272BC" w:rsidRDefault="00CD5559" w:rsidP="00CD5559">
      <w:pPr>
        <w:ind w:left="720" w:hanging="720"/>
        <w:jc w:val="both"/>
        <w:rPr>
          <w:rFonts w:eastAsia="Times New Roman"/>
        </w:rPr>
      </w:pPr>
      <w:proofErr w:type="gramStart"/>
      <w:r w:rsidRPr="001272BC">
        <w:rPr>
          <w:rFonts w:eastAsia="Times New Roman"/>
        </w:rPr>
        <w:t>Donaldson, L, and JH Davis (1991).</w:t>
      </w:r>
      <w:proofErr w:type="gramEnd"/>
      <w:r w:rsidRPr="001272BC">
        <w:rPr>
          <w:rFonts w:eastAsia="Times New Roman"/>
        </w:rPr>
        <w:t xml:space="preserve"> Stewardship Theory or Agency Theory: CEO Governance and Shareholder Returns. </w:t>
      </w:r>
      <w:r w:rsidRPr="00F0387F">
        <w:rPr>
          <w:rFonts w:eastAsia="Times New Roman"/>
          <w:i/>
        </w:rPr>
        <w:t>Australian Journal of Management,</w:t>
      </w:r>
      <w:r w:rsidRPr="001272BC">
        <w:rPr>
          <w:rFonts w:eastAsia="Times New Roman"/>
        </w:rPr>
        <w:t xml:space="preserve"> 16(1): 49–64.</w:t>
      </w:r>
    </w:p>
    <w:p w:rsidR="00CD5559" w:rsidRPr="000970A0" w:rsidRDefault="00CD5559" w:rsidP="00CD5559">
      <w:pPr>
        <w:ind w:left="720" w:hanging="720"/>
        <w:jc w:val="both"/>
        <w:rPr>
          <w:rFonts w:eastAsia="Times New Roman"/>
        </w:rPr>
      </w:pPr>
      <w:proofErr w:type="gramStart"/>
      <w:r w:rsidRPr="000970A0">
        <w:t>Easley,</w:t>
      </w:r>
      <w:r>
        <w:t xml:space="preserve"> David,</w:t>
      </w:r>
      <w:r w:rsidRPr="000970A0">
        <w:t xml:space="preserve"> Nicholas M. Kiefer, Maureen O'Hara, and Joseph B. </w:t>
      </w:r>
      <w:proofErr w:type="spellStart"/>
      <w:r w:rsidRPr="000970A0">
        <w:t>Paperman</w:t>
      </w:r>
      <w:proofErr w:type="spellEnd"/>
      <w:r>
        <w:t xml:space="preserve"> (1996)</w:t>
      </w:r>
      <w:r w:rsidRPr="000970A0">
        <w:t xml:space="preserve"> “</w:t>
      </w:r>
      <w:r w:rsidRPr="000970A0">
        <w:rPr>
          <w:color w:val="3D3D3D"/>
        </w:rPr>
        <w:t xml:space="preserve">Liquidity, Information, and Infrequently Traded Stocks” </w:t>
      </w:r>
      <w:r w:rsidRPr="00F0387F">
        <w:rPr>
          <w:i/>
        </w:rPr>
        <w:t>Journal of Finance</w:t>
      </w:r>
      <w:r>
        <w:t xml:space="preserve"> (4)</w:t>
      </w:r>
      <w:r w:rsidRPr="000970A0">
        <w:t>.</w:t>
      </w:r>
      <w:proofErr w:type="gramEnd"/>
      <w:r w:rsidR="00516FAE">
        <w:t xml:space="preserve"> </w:t>
      </w:r>
    </w:p>
    <w:p w:rsidR="00CD5559" w:rsidRPr="00183846" w:rsidRDefault="00CD5559" w:rsidP="00CD5559">
      <w:pPr>
        <w:pStyle w:val="EndnoteText"/>
        <w:ind w:left="720" w:hanging="720"/>
        <w:jc w:val="both"/>
        <w:rPr>
          <w:sz w:val="24"/>
          <w:szCs w:val="24"/>
        </w:rPr>
      </w:pPr>
      <w:proofErr w:type="spellStart"/>
      <w:r w:rsidRPr="00A15A48">
        <w:rPr>
          <w:sz w:val="24"/>
          <w:szCs w:val="24"/>
        </w:rPr>
        <w:t>Fahlenbrach</w:t>
      </w:r>
      <w:proofErr w:type="spellEnd"/>
      <w:r>
        <w:t>,</w:t>
      </w:r>
      <w:r w:rsidRPr="00A15A48">
        <w:t xml:space="preserve"> </w:t>
      </w:r>
      <w:r w:rsidRPr="00A15A48">
        <w:rPr>
          <w:sz w:val="24"/>
          <w:szCs w:val="24"/>
        </w:rPr>
        <w:t>R, R</w:t>
      </w:r>
      <w:r>
        <w:rPr>
          <w:sz w:val="24"/>
          <w:szCs w:val="24"/>
        </w:rPr>
        <w:t>M</w:t>
      </w:r>
      <w:r w:rsidRPr="00A15A48">
        <w:rPr>
          <w:sz w:val="24"/>
          <w:szCs w:val="24"/>
        </w:rPr>
        <w:t xml:space="preserve"> </w:t>
      </w:r>
      <w:proofErr w:type="spellStart"/>
      <w:r w:rsidRPr="00A15A48">
        <w:rPr>
          <w:sz w:val="24"/>
          <w:szCs w:val="24"/>
        </w:rPr>
        <w:t>Stulz</w:t>
      </w:r>
      <w:proofErr w:type="spellEnd"/>
      <w:r>
        <w:rPr>
          <w:sz w:val="24"/>
          <w:szCs w:val="24"/>
        </w:rPr>
        <w:t xml:space="preserve"> (2009)</w:t>
      </w:r>
      <w:r>
        <w:t>. “</w:t>
      </w:r>
      <w:r w:rsidRPr="00A15A48">
        <w:rPr>
          <w:sz w:val="24"/>
          <w:szCs w:val="24"/>
        </w:rPr>
        <w:t>Managerial ownership dynamics and firm value</w:t>
      </w:r>
      <w:r>
        <w:t xml:space="preserve">” </w:t>
      </w:r>
      <w:hyperlink r:id="rId9" w:history="1">
        <w:r w:rsidRPr="00A15A48">
          <w:rPr>
            <w:i/>
            <w:sz w:val="24"/>
            <w:szCs w:val="24"/>
          </w:rPr>
          <w:t>Journal of Financial Economics</w:t>
        </w:r>
      </w:hyperlink>
      <w:r w:rsidRPr="00A15A48">
        <w:rPr>
          <w:i/>
        </w:rPr>
        <w:t xml:space="preserve"> </w:t>
      </w:r>
      <w:hyperlink r:id="rId10" w:history="1">
        <w:r w:rsidRPr="00A15A48">
          <w:rPr>
            <w:sz w:val="24"/>
            <w:szCs w:val="24"/>
          </w:rPr>
          <w:t>92</w:t>
        </w:r>
        <w:r>
          <w:t>(</w:t>
        </w:r>
        <w:r w:rsidRPr="00A15A48">
          <w:rPr>
            <w:sz w:val="24"/>
            <w:szCs w:val="24"/>
          </w:rPr>
          <w:t>3</w:t>
        </w:r>
      </w:hyperlink>
      <w:r>
        <w:t xml:space="preserve">): </w:t>
      </w:r>
      <w:r w:rsidRPr="00A15A48">
        <w:rPr>
          <w:sz w:val="24"/>
          <w:szCs w:val="24"/>
        </w:rPr>
        <w:t>342–361</w:t>
      </w:r>
    </w:p>
    <w:p w:rsidR="00CD5559" w:rsidRPr="001272BC" w:rsidRDefault="00CD5559" w:rsidP="00CD5559">
      <w:pPr>
        <w:ind w:left="720" w:hanging="720"/>
        <w:jc w:val="both"/>
        <w:rPr>
          <w:rFonts w:eastAsia="Times New Roman"/>
        </w:rPr>
      </w:pPr>
      <w:proofErr w:type="gramStart"/>
      <w:r w:rsidRPr="001272BC">
        <w:rPr>
          <w:rFonts w:eastAsia="Times New Roman"/>
        </w:rPr>
        <w:t xml:space="preserve">Finkelstein, S, and RA </w:t>
      </w:r>
      <w:proofErr w:type="spellStart"/>
      <w:r w:rsidRPr="001272BC">
        <w:rPr>
          <w:rFonts w:eastAsia="Times New Roman"/>
        </w:rPr>
        <w:t>D’Aveni</w:t>
      </w:r>
      <w:proofErr w:type="spellEnd"/>
      <w:r w:rsidRPr="001272BC">
        <w:rPr>
          <w:rFonts w:eastAsia="Times New Roman"/>
        </w:rPr>
        <w:t xml:space="preserve"> (1994).</w:t>
      </w:r>
      <w:proofErr w:type="gramEnd"/>
      <w:r w:rsidRPr="001272BC">
        <w:rPr>
          <w:rFonts w:eastAsia="Times New Roman"/>
        </w:rPr>
        <w:t xml:space="preserve"> CEO Duality as a Double-Edged Sword: How Boards of Directors Balance Entrenchment Avoidance and Unity of Command. </w:t>
      </w:r>
      <w:r w:rsidRPr="00F0387F">
        <w:rPr>
          <w:rFonts w:eastAsia="Times New Roman"/>
          <w:i/>
        </w:rPr>
        <w:t xml:space="preserve">Academy of Management Journal </w:t>
      </w:r>
      <w:r w:rsidRPr="001272BC">
        <w:rPr>
          <w:rFonts w:eastAsia="Times New Roman"/>
        </w:rPr>
        <w:t>37(5): 1079-1108.</w:t>
      </w:r>
    </w:p>
    <w:p w:rsidR="00CD5559" w:rsidRPr="001272BC" w:rsidRDefault="00CD5559" w:rsidP="00CD5559">
      <w:pPr>
        <w:pStyle w:val="Default"/>
        <w:widowControl w:val="0"/>
        <w:autoSpaceDE/>
        <w:autoSpaceDN/>
        <w:adjustRightInd/>
        <w:ind w:left="720" w:hanging="720"/>
        <w:jc w:val="both"/>
        <w:rPr>
          <w:color w:val="auto"/>
        </w:rPr>
      </w:pPr>
      <w:r w:rsidRPr="001272BC">
        <w:rPr>
          <w:color w:val="auto"/>
        </w:rPr>
        <w:t>Firer, S and S</w:t>
      </w:r>
      <w:r>
        <w:rPr>
          <w:color w:val="auto"/>
        </w:rPr>
        <w:t>M</w:t>
      </w:r>
      <w:r w:rsidRPr="001272BC">
        <w:rPr>
          <w:color w:val="auto"/>
        </w:rPr>
        <w:t xml:space="preserve"> Williams (2003) "Intellectual capital and traditional measures of corporate performance", </w:t>
      </w:r>
      <w:r w:rsidRPr="001272BC">
        <w:rPr>
          <w:i/>
          <w:color w:val="auto"/>
        </w:rPr>
        <w:t>Journal of Intellectual Capital</w:t>
      </w:r>
      <w:r w:rsidRPr="001272BC">
        <w:rPr>
          <w:color w:val="auto"/>
        </w:rPr>
        <w:t xml:space="preserve"> 4(3): 348 - 360</w:t>
      </w:r>
    </w:p>
    <w:p w:rsidR="00CD5559" w:rsidRPr="001272BC" w:rsidRDefault="00CD5559" w:rsidP="00CD5559">
      <w:pPr>
        <w:ind w:left="720" w:hanging="720"/>
        <w:jc w:val="both"/>
        <w:rPr>
          <w:rFonts w:eastAsia="Times New Roman"/>
        </w:rPr>
      </w:pPr>
      <w:r w:rsidRPr="001272BC">
        <w:rPr>
          <w:rFonts w:eastAsia="Times New Roman"/>
        </w:rPr>
        <w:t>Fukuyama, F (1995). Trust: The social virtues and the creation of prosperity. New York, NY: Free Press.</w:t>
      </w:r>
    </w:p>
    <w:p w:rsidR="00CD5559" w:rsidRPr="001272BC" w:rsidRDefault="00CD5559" w:rsidP="00CD5559">
      <w:pPr>
        <w:pStyle w:val="ListParagraph"/>
        <w:ind w:left="720" w:hanging="720"/>
        <w:jc w:val="both"/>
      </w:pPr>
      <w:proofErr w:type="spellStart"/>
      <w:r w:rsidRPr="001272BC">
        <w:t>Gillan</w:t>
      </w:r>
      <w:proofErr w:type="spellEnd"/>
      <w:r w:rsidRPr="001272BC">
        <w:t xml:space="preserve">, Stuart L (2006) “Recent developments in corporate governance: an overview” </w:t>
      </w:r>
      <w:r w:rsidRPr="001272BC">
        <w:rPr>
          <w:i/>
        </w:rPr>
        <w:t>Journal of Corporate Finance</w:t>
      </w:r>
      <w:r w:rsidRPr="001272BC">
        <w:t xml:space="preserve"> 12: 381-402.</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Habbershon</w:t>
      </w:r>
      <w:proofErr w:type="spellEnd"/>
      <w:r w:rsidRPr="001272BC">
        <w:rPr>
          <w:rFonts w:eastAsia="Times New Roman"/>
        </w:rPr>
        <w:t>, TG, and ML Williams (1999).</w:t>
      </w:r>
      <w:proofErr w:type="gramEnd"/>
      <w:r w:rsidRPr="001272BC">
        <w:rPr>
          <w:rFonts w:eastAsia="Times New Roman"/>
        </w:rPr>
        <w:t xml:space="preserve"> A resource based framework for assessing the strategic advantages of family firms. </w:t>
      </w:r>
      <w:r w:rsidRPr="00F0387F">
        <w:rPr>
          <w:rFonts w:eastAsia="Times New Roman"/>
          <w:i/>
        </w:rPr>
        <w:t>Family Business Review</w:t>
      </w:r>
      <w:r w:rsidRPr="001272BC">
        <w:rPr>
          <w:rFonts w:eastAsia="Times New Roman"/>
        </w:rPr>
        <w:t xml:space="preserve"> 12: 1-25.</w:t>
      </w:r>
    </w:p>
    <w:p w:rsidR="00CD5559" w:rsidRPr="001272BC" w:rsidRDefault="00CD5559" w:rsidP="00CD5559">
      <w:pPr>
        <w:pStyle w:val="EndnoteText"/>
        <w:ind w:left="720" w:hanging="720"/>
        <w:jc w:val="both"/>
        <w:rPr>
          <w:rFonts w:eastAsia="Arial Unicode MS"/>
          <w:sz w:val="24"/>
          <w:szCs w:val="24"/>
        </w:rPr>
      </w:pPr>
      <w:proofErr w:type="gramStart"/>
      <w:r w:rsidRPr="001272BC">
        <w:rPr>
          <w:sz w:val="24"/>
          <w:szCs w:val="24"/>
        </w:rPr>
        <w:t xml:space="preserve">Holderness, Clifford G.; Randall S. </w:t>
      </w:r>
      <w:proofErr w:type="spellStart"/>
      <w:r w:rsidRPr="001272BC">
        <w:rPr>
          <w:sz w:val="24"/>
          <w:szCs w:val="24"/>
        </w:rPr>
        <w:t>Kroszner</w:t>
      </w:r>
      <w:proofErr w:type="spellEnd"/>
      <w:r w:rsidRPr="001272BC">
        <w:rPr>
          <w:sz w:val="24"/>
          <w:szCs w:val="24"/>
        </w:rPr>
        <w:t>; and Dennis P. Sheehan (1999).</w:t>
      </w:r>
      <w:proofErr w:type="gramEnd"/>
      <w:r w:rsidRPr="001272BC">
        <w:rPr>
          <w:sz w:val="24"/>
          <w:szCs w:val="24"/>
        </w:rPr>
        <w:t xml:space="preserve"> </w:t>
      </w:r>
      <w:proofErr w:type="gramStart"/>
      <w:r w:rsidRPr="001272BC">
        <w:rPr>
          <w:sz w:val="24"/>
          <w:szCs w:val="24"/>
        </w:rPr>
        <w:t>“Were the Good Old Days That Good?</w:t>
      </w:r>
      <w:proofErr w:type="gramEnd"/>
      <w:r w:rsidR="00516FAE">
        <w:rPr>
          <w:sz w:val="24"/>
          <w:szCs w:val="24"/>
        </w:rPr>
        <w:t xml:space="preserve"> </w:t>
      </w:r>
      <w:proofErr w:type="gramStart"/>
      <w:r w:rsidRPr="001272BC">
        <w:rPr>
          <w:sz w:val="24"/>
          <w:szCs w:val="24"/>
        </w:rPr>
        <w:t>Changed in Managerial Stock Ownership Since the Great Depression.”</w:t>
      </w:r>
      <w:proofErr w:type="gramEnd"/>
      <w:r w:rsidRPr="001272BC">
        <w:rPr>
          <w:sz w:val="24"/>
          <w:szCs w:val="24"/>
        </w:rPr>
        <w:t xml:space="preserve"> </w:t>
      </w:r>
      <w:r w:rsidRPr="001272BC">
        <w:rPr>
          <w:i/>
          <w:iCs/>
          <w:sz w:val="24"/>
          <w:szCs w:val="24"/>
        </w:rPr>
        <w:t>Journal of Finance</w:t>
      </w:r>
      <w:r w:rsidRPr="001272BC">
        <w:rPr>
          <w:sz w:val="24"/>
          <w:szCs w:val="24"/>
        </w:rPr>
        <w:t xml:space="preserve"> </w:t>
      </w:r>
      <w:proofErr w:type="gramStart"/>
      <w:r w:rsidRPr="001272BC">
        <w:rPr>
          <w:sz w:val="24"/>
          <w:szCs w:val="24"/>
        </w:rPr>
        <w:t>LIV(</w:t>
      </w:r>
      <w:proofErr w:type="gramEnd"/>
      <w:r w:rsidRPr="001272BC">
        <w:rPr>
          <w:sz w:val="24"/>
          <w:szCs w:val="24"/>
        </w:rPr>
        <w:t>2): 435-469.</w:t>
      </w:r>
    </w:p>
    <w:p w:rsidR="00CD5559" w:rsidRPr="001272BC" w:rsidRDefault="00CD5559" w:rsidP="00CD5559">
      <w:pPr>
        <w:ind w:left="720" w:hanging="720"/>
        <w:jc w:val="both"/>
        <w:rPr>
          <w:rFonts w:eastAsia="Times New Roman"/>
        </w:rPr>
      </w:pPr>
      <w:proofErr w:type="gramStart"/>
      <w:r w:rsidRPr="001272BC">
        <w:rPr>
          <w:rFonts w:eastAsia="Times New Roman"/>
        </w:rPr>
        <w:t>Huang, L, T Hsiao and GC Lai (2001).</w:t>
      </w:r>
      <w:proofErr w:type="gramEnd"/>
      <w:r w:rsidRPr="001272BC">
        <w:rPr>
          <w:rFonts w:eastAsia="Times New Roman"/>
        </w:rPr>
        <w:t xml:space="preserve"> Does Corporate Governance and Ownership Structure Influence performance? </w:t>
      </w:r>
      <w:proofErr w:type="gramStart"/>
      <w:r w:rsidRPr="001272BC">
        <w:rPr>
          <w:rFonts w:eastAsia="Times New Roman"/>
        </w:rPr>
        <w:t>Evidence from Taiwan Life Insurance Companies.”</w:t>
      </w:r>
      <w:proofErr w:type="gramEnd"/>
      <w:r w:rsidRPr="001272BC">
        <w:rPr>
          <w:rFonts w:eastAsia="Times New Roman"/>
        </w:rPr>
        <w:t xml:space="preserve"> </w:t>
      </w:r>
      <w:r w:rsidRPr="00F0387F">
        <w:rPr>
          <w:rFonts w:eastAsia="Times New Roman"/>
          <w:i/>
        </w:rPr>
        <w:t>Journal of Insurance Issues</w:t>
      </w:r>
      <w:r w:rsidRPr="001272BC">
        <w:rPr>
          <w:rFonts w:eastAsia="Times New Roman"/>
        </w:rPr>
        <w:t xml:space="preserve"> 30(2): 123-151.</w:t>
      </w:r>
    </w:p>
    <w:p w:rsidR="00CD5559" w:rsidRPr="001272BC" w:rsidRDefault="00CD5559" w:rsidP="00CD5559">
      <w:pPr>
        <w:ind w:left="720" w:hanging="720"/>
        <w:jc w:val="both"/>
        <w:rPr>
          <w:rFonts w:eastAsia="Times New Roman"/>
        </w:rPr>
      </w:pPr>
      <w:proofErr w:type="gramStart"/>
      <w:r w:rsidRPr="001272BC">
        <w:rPr>
          <w:rFonts w:eastAsia="Times New Roman"/>
        </w:rPr>
        <w:t xml:space="preserve">Jensen, MC and WH </w:t>
      </w:r>
      <w:proofErr w:type="spellStart"/>
      <w:r w:rsidRPr="001272BC">
        <w:rPr>
          <w:rFonts w:eastAsia="Times New Roman"/>
        </w:rPr>
        <w:t>Meckling</w:t>
      </w:r>
      <w:proofErr w:type="spellEnd"/>
      <w:r w:rsidRPr="001272BC">
        <w:rPr>
          <w:rFonts w:eastAsia="Times New Roman"/>
        </w:rPr>
        <w:t xml:space="preserve"> (1976).</w:t>
      </w:r>
      <w:proofErr w:type="gramEnd"/>
      <w:r w:rsidRPr="001272BC">
        <w:rPr>
          <w:rFonts w:eastAsia="Times New Roman"/>
        </w:rPr>
        <w:t xml:space="preserve"> Theory of the firm: Managerial behavior, agency costs and ownership structure. </w:t>
      </w:r>
      <w:r w:rsidRPr="00F0387F">
        <w:rPr>
          <w:rFonts w:eastAsia="Times New Roman"/>
          <w:i/>
        </w:rPr>
        <w:t xml:space="preserve">Journal of Financial Economics </w:t>
      </w:r>
      <w:r w:rsidRPr="001272BC">
        <w:rPr>
          <w:rFonts w:eastAsia="Times New Roman"/>
        </w:rPr>
        <w:t>3: 305–360.</w:t>
      </w:r>
    </w:p>
    <w:p w:rsidR="00CD5559" w:rsidRPr="001272BC" w:rsidRDefault="00CD5559" w:rsidP="00CD5559">
      <w:pPr>
        <w:pStyle w:val="ListParagraph"/>
        <w:ind w:left="720" w:hanging="720"/>
        <w:jc w:val="both"/>
      </w:pPr>
      <w:r w:rsidRPr="001272BC">
        <w:t>John, T</w:t>
      </w:r>
      <w:r>
        <w:t>A</w:t>
      </w:r>
      <w:r w:rsidRPr="001272BC">
        <w:t xml:space="preserve"> (1993) Accounting Measures of Corporate Liquidity, Leverage, and Costs of Financial Distress </w:t>
      </w:r>
      <w:r w:rsidRPr="001272BC">
        <w:rPr>
          <w:i/>
        </w:rPr>
        <w:t>Financial Management</w:t>
      </w:r>
      <w:r w:rsidRPr="001272BC">
        <w:t xml:space="preserve"> 22(3): 91-100.</w:t>
      </w:r>
    </w:p>
    <w:p w:rsidR="00CD5559" w:rsidRPr="001272BC" w:rsidRDefault="00CD5559" w:rsidP="00CD5559">
      <w:pPr>
        <w:ind w:left="720" w:hanging="720"/>
        <w:jc w:val="both"/>
        <w:rPr>
          <w:rFonts w:eastAsia="Times New Roman"/>
        </w:rPr>
      </w:pPr>
      <w:proofErr w:type="spellStart"/>
      <w:r w:rsidRPr="001272BC">
        <w:rPr>
          <w:rFonts w:eastAsia="Times New Roman"/>
        </w:rPr>
        <w:t>Joskow</w:t>
      </w:r>
      <w:proofErr w:type="spellEnd"/>
      <w:r w:rsidRPr="001272BC">
        <w:rPr>
          <w:rFonts w:eastAsia="Times New Roman"/>
        </w:rPr>
        <w:t xml:space="preserve">, PL (1973). </w:t>
      </w:r>
      <w:proofErr w:type="gramStart"/>
      <w:r w:rsidRPr="001272BC">
        <w:rPr>
          <w:rFonts w:eastAsia="Times New Roman"/>
        </w:rPr>
        <w:t>Cartels, Competition and Regulation in the Property-Liability Insurance Industry.</w:t>
      </w:r>
      <w:proofErr w:type="gramEnd"/>
      <w:r w:rsidRPr="001272BC">
        <w:rPr>
          <w:rFonts w:eastAsia="Times New Roman"/>
        </w:rPr>
        <w:t xml:space="preserve"> </w:t>
      </w:r>
      <w:r w:rsidRPr="00F0387F">
        <w:rPr>
          <w:rFonts w:eastAsia="Times New Roman"/>
          <w:i/>
        </w:rPr>
        <w:t xml:space="preserve">Bell Journal of Economics and Management Science </w:t>
      </w:r>
      <w:r w:rsidRPr="001272BC">
        <w:rPr>
          <w:rFonts w:eastAsia="Times New Roman"/>
        </w:rPr>
        <w:t>4(2): 375–427</w:t>
      </w:r>
    </w:p>
    <w:p w:rsidR="00CD5559" w:rsidRPr="001272BC" w:rsidRDefault="00CD5559" w:rsidP="00CD5559">
      <w:pPr>
        <w:ind w:left="720" w:hanging="720"/>
        <w:jc w:val="both"/>
        <w:rPr>
          <w:rFonts w:eastAsia="Times New Roman"/>
        </w:rPr>
      </w:pPr>
      <w:r w:rsidRPr="001272BC">
        <w:rPr>
          <w:rFonts w:eastAsia="Times New Roman"/>
        </w:rPr>
        <w:t xml:space="preserve">Kennedy, P (2008). </w:t>
      </w:r>
      <w:proofErr w:type="gramStart"/>
      <w:r w:rsidRPr="001272BC">
        <w:rPr>
          <w:rFonts w:eastAsia="Times New Roman"/>
        </w:rPr>
        <w:t>A Guide to Econometrics.</w:t>
      </w:r>
      <w:proofErr w:type="gramEnd"/>
      <w:r w:rsidRPr="001272BC">
        <w:rPr>
          <w:rFonts w:eastAsia="Times New Roman"/>
        </w:rPr>
        <w:t xml:space="preserve"> Malden, MA: Blackwell Publishing.</w:t>
      </w:r>
    </w:p>
    <w:p w:rsidR="00CD5559" w:rsidRPr="001272BC" w:rsidRDefault="00CD5559" w:rsidP="00CD5559">
      <w:pPr>
        <w:ind w:left="720" w:hanging="720"/>
        <w:jc w:val="both"/>
        <w:rPr>
          <w:rFonts w:eastAsia="Times New Roman"/>
        </w:rPr>
      </w:pPr>
      <w:proofErr w:type="gramStart"/>
      <w:r w:rsidRPr="001272BC">
        <w:rPr>
          <w:rFonts w:eastAsia="Times New Roman"/>
        </w:rPr>
        <w:t>Klein, P, D Shapiro and J Young (2005).</w:t>
      </w:r>
      <w:proofErr w:type="gramEnd"/>
      <w:r w:rsidRPr="001272BC">
        <w:rPr>
          <w:rFonts w:eastAsia="Times New Roman"/>
        </w:rPr>
        <w:t xml:space="preserve"> Corporate Governance, Family Ownership and Firm Value: the Canadian evidence. </w:t>
      </w:r>
      <w:r w:rsidRPr="00F0387F">
        <w:rPr>
          <w:rFonts w:eastAsia="Times New Roman"/>
          <w:i/>
        </w:rPr>
        <w:t>Corporate Governance</w:t>
      </w:r>
      <w:r w:rsidRPr="001272BC">
        <w:rPr>
          <w:rFonts w:eastAsia="Times New Roman"/>
        </w:rPr>
        <w:t xml:space="preserve"> 13(6): 769-784.</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lastRenderedPageBreak/>
        <w:t>Lamm</w:t>
      </w:r>
      <w:proofErr w:type="spellEnd"/>
      <w:r w:rsidRPr="001272BC">
        <w:rPr>
          <w:rFonts w:eastAsia="Times New Roman"/>
        </w:rPr>
        <w:t>-Tennant, J and L Starks (1993).</w:t>
      </w:r>
      <w:proofErr w:type="gramEnd"/>
      <w:r w:rsidRPr="001272BC">
        <w:rPr>
          <w:rFonts w:eastAsia="Times New Roman"/>
        </w:rPr>
        <w:t xml:space="preserve"> Stock </w:t>
      </w:r>
      <w:proofErr w:type="gramStart"/>
      <w:r w:rsidRPr="001272BC">
        <w:rPr>
          <w:rFonts w:eastAsia="Times New Roman"/>
        </w:rPr>
        <w:t>Versus</w:t>
      </w:r>
      <w:proofErr w:type="gramEnd"/>
      <w:r w:rsidRPr="001272BC">
        <w:rPr>
          <w:rFonts w:eastAsia="Times New Roman"/>
        </w:rPr>
        <w:t xml:space="preserve"> Mutual Ownership Structures: The Risk Implications. </w:t>
      </w:r>
      <w:r w:rsidRPr="00F0387F">
        <w:rPr>
          <w:rFonts w:eastAsia="Times New Roman"/>
          <w:i/>
        </w:rPr>
        <w:t>Journal of Business</w:t>
      </w:r>
      <w:r w:rsidRPr="001272BC">
        <w:rPr>
          <w:rFonts w:eastAsia="Times New Roman"/>
        </w:rPr>
        <w:t xml:space="preserve"> 66: 29-46.</w:t>
      </w:r>
    </w:p>
    <w:p w:rsidR="00CD5559" w:rsidRPr="001272BC" w:rsidRDefault="00CD5559" w:rsidP="00CD5559">
      <w:pPr>
        <w:pStyle w:val="Default"/>
        <w:widowControl w:val="0"/>
        <w:autoSpaceDE/>
        <w:autoSpaceDN/>
        <w:adjustRightInd/>
        <w:ind w:left="720" w:hanging="720"/>
        <w:jc w:val="both"/>
        <w:rPr>
          <w:color w:val="auto"/>
        </w:rPr>
      </w:pPr>
      <w:proofErr w:type="gramStart"/>
      <w:r w:rsidRPr="001272BC">
        <w:rPr>
          <w:color w:val="auto"/>
        </w:rPr>
        <w:t xml:space="preserve">Lang, L. H., </w:t>
      </w:r>
      <w:r>
        <w:rPr>
          <w:color w:val="auto"/>
        </w:rPr>
        <w:t>and</w:t>
      </w:r>
      <w:r w:rsidRPr="001272BC">
        <w:rPr>
          <w:color w:val="auto"/>
        </w:rPr>
        <w:t xml:space="preserve"> </w:t>
      </w:r>
      <w:proofErr w:type="spellStart"/>
      <w:r w:rsidRPr="001272BC">
        <w:rPr>
          <w:color w:val="auto"/>
        </w:rPr>
        <w:t>Stulz</w:t>
      </w:r>
      <w:proofErr w:type="spellEnd"/>
      <w:r w:rsidRPr="001272BC">
        <w:rPr>
          <w:color w:val="auto"/>
        </w:rPr>
        <w:t>, R. M. (1993).</w:t>
      </w:r>
      <w:proofErr w:type="gramEnd"/>
      <w:r w:rsidRPr="001272BC">
        <w:rPr>
          <w:color w:val="auto"/>
        </w:rPr>
        <w:t xml:space="preserve"> </w:t>
      </w:r>
      <w:proofErr w:type="gramStart"/>
      <w:r w:rsidRPr="001272BC">
        <w:rPr>
          <w:i/>
          <w:iCs/>
          <w:color w:val="auto"/>
        </w:rPr>
        <w:t>Tobin's q, corporate diversification and firm performance</w:t>
      </w:r>
      <w:r w:rsidRPr="001272BC">
        <w:rPr>
          <w:color w:val="auto"/>
        </w:rPr>
        <w:t xml:space="preserve"> (No. w4376).</w:t>
      </w:r>
      <w:proofErr w:type="gramEnd"/>
      <w:r w:rsidRPr="001272BC">
        <w:rPr>
          <w:color w:val="auto"/>
        </w:rPr>
        <w:t xml:space="preserve"> </w:t>
      </w:r>
      <w:proofErr w:type="gramStart"/>
      <w:r w:rsidRPr="001272BC">
        <w:rPr>
          <w:color w:val="auto"/>
        </w:rPr>
        <w:t>National Bureau of Economic Research.</w:t>
      </w:r>
      <w:proofErr w:type="gramEnd"/>
    </w:p>
    <w:p w:rsidR="00CD5559" w:rsidRPr="001272BC" w:rsidRDefault="00CD5559" w:rsidP="00CD5559">
      <w:pPr>
        <w:ind w:left="720" w:hanging="720"/>
        <w:jc w:val="both"/>
        <w:rPr>
          <w:rFonts w:eastAsia="Times New Roman"/>
          <w:color w:val="030303"/>
        </w:rPr>
      </w:pPr>
      <w:proofErr w:type="gramStart"/>
      <w:r w:rsidRPr="001272BC">
        <w:rPr>
          <w:rFonts w:eastAsia="Times New Roman"/>
          <w:color w:val="030303"/>
        </w:rPr>
        <w:t xml:space="preserve">Lang, LHP, RM </w:t>
      </w:r>
      <w:proofErr w:type="spellStart"/>
      <w:r w:rsidRPr="001272BC">
        <w:rPr>
          <w:rFonts w:eastAsia="Times New Roman"/>
          <w:color w:val="030303"/>
        </w:rPr>
        <w:t>Stulz</w:t>
      </w:r>
      <w:proofErr w:type="spellEnd"/>
      <w:r w:rsidRPr="001272BC">
        <w:rPr>
          <w:rFonts w:eastAsia="Times New Roman"/>
          <w:color w:val="030303"/>
        </w:rPr>
        <w:t xml:space="preserve"> and RA Walking (1989).</w:t>
      </w:r>
      <w:proofErr w:type="gramEnd"/>
      <w:r w:rsidRPr="001272BC">
        <w:rPr>
          <w:rFonts w:eastAsia="Times New Roman"/>
          <w:color w:val="030303"/>
        </w:rPr>
        <w:t xml:space="preserve"> Managerial Performance, Tobin’s Q, and the gains from successful tender offers. </w:t>
      </w:r>
      <w:r w:rsidRPr="00F0387F">
        <w:rPr>
          <w:rFonts w:eastAsia="Times New Roman"/>
          <w:i/>
          <w:color w:val="030303"/>
        </w:rPr>
        <w:t xml:space="preserve">Journal of Financial Economics </w:t>
      </w:r>
      <w:r w:rsidRPr="001272BC">
        <w:rPr>
          <w:rFonts w:eastAsia="Times New Roman"/>
          <w:color w:val="030303"/>
        </w:rPr>
        <w:t>24: 137-154.</w:t>
      </w:r>
    </w:p>
    <w:p w:rsidR="00CD5559" w:rsidRPr="001272BC" w:rsidRDefault="00CD5559" w:rsidP="00CD5559">
      <w:pPr>
        <w:ind w:left="720" w:hanging="720"/>
        <w:jc w:val="both"/>
        <w:rPr>
          <w:rFonts w:eastAsia="Times New Roman"/>
        </w:rPr>
      </w:pPr>
      <w:r w:rsidRPr="001272BC">
        <w:rPr>
          <w:rFonts w:eastAsia="Times New Roman"/>
        </w:rPr>
        <w:t xml:space="preserve">La </w:t>
      </w:r>
      <w:proofErr w:type="spellStart"/>
      <w:r w:rsidRPr="001272BC">
        <w:rPr>
          <w:rFonts w:eastAsia="Times New Roman"/>
        </w:rPr>
        <w:t>Porta</w:t>
      </w:r>
      <w:proofErr w:type="spellEnd"/>
      <w:r w:rsidRPr="001272BC">
        <w:rPr>
          <w:rFonts w:eastAsia="Times New Roman"/>
        </w:rPr>
        <w:t>, R, F Lopez-de-</w:t>
      </w:r>
      <w:proofErr w:type="spellStart"/>
      <w:r w:rsidRPr="001272BC">
        <w:rPr>
          <w:rFonts w:eastAsia="Times New Roman"/>
        </w:rPr>
        <w:t>Silanes</w:t>
      </w:r>
      <w:proofErr w:type="spellEnd"/>
      <w:r w:rsidRPr="001272BC">
        <w:rPr>
          <w:rFonts w:eastAsia="Times New Roman"/>
        </w:rPr>
        <w:t xml:space="preserve">, A </w:t>
      </w:r>
      <w:proofErr w:type="spellStart"/>
      <w:r w:rsidRPr="001272BC">
        <w:rPr>
          <w:rFonts w:eastAsia="Times New Roman"/>
        </w:rPr>
        <w:t>Shleifer</w:t>
      </w:r>
      <w:proofErr w:type="spellEnd"/>
      <w:r w:rsidRPr="001272BC">
        <w:rPr>
          <w:rFonts w:eastAsia="Times New Roman"/>
        </w:rPr>
        <w:t xml:space="preserve"> and R </w:t>
      </w:r>
      <w:proofErr w:type="spellStart"/>
      <w:r w:rsidRPr="001272BC">
        <w:rPr>
          <w:rFonts w:eastAsia="Times New Roman"/>
        </w:rPr>
        <w:t>Vishny</w:t>
      </w:r>
      <w:proofErr w:type="spellEnd"/>
      <w:r w:rsidRPr="001272BC">
        <w:rPr>
          <w:rFonts w:eastAsia="Times New Roman"/>
        </w:rPr>
        <w:t xml:space="preserve"> (1998). </w:t>
      </w:r>
      <w:proofErr w:type="gramStart"/>
      <w:r w:rsidRPr="001272BC">
        <w:rPr>
          <w:rFonts w:eastAsia="Times New Roman"/>
        </w:rPr>
        <w:t>Law and Finance.</w:t>
      </w:r>
      <w:proofErr w:type="gramEnd"/>
      <w:r w:rsidRPr="001272BC">
        <w:rPr>
          <w:rFonts w:eastAsia="Times New Roman"/>
        </w:rPr>
        <w:t xml:space="preserve"> </w:t>
      </w:r>
      <w:proofErr w:type="gramStart"/>
      <w:r w:rsidRPr="00F0387F">
        <w:rPr>
          <w:rFonts w:eastAsia="Times New Roman"/>
          <w:i/>
        </w:rPr>
        <w:t xml:space="preserve">Journal of Political Economy </w:t>
      </w:r>
      <w:r w:rsidRPr="001272BC">
        <w:rPr>
          <w:rFonts w:eastAsia="Times New Roman"/>
        </w:rPr>
        <w:t>106: 1113- 1155.</w:t>
      </w:r>
      <w:proofErr w:type="gramEnd"/>
    </w:p>
    <w:p w:rsidR="00CD5559" w:rsidRPr="001272BC" w:rsidRDefault="00CD5559" w:rsidP="00CD5559">
      <w:pPr>
        <w:pStyle w:val="ListParagraph"/>
        <w:ind w:left="720" w:hanging="720"/>
        <w:jc w:val="both"/>
      </w:pPr>
      <w:proofErr w:type="spellStart"/>
      <w:r>
        <w:t>Larcker</w:t>
      </w:r>
      <w:proofErr w:type="spellEnd"/>
      <w:r w:rsidRPr="001272BC">
        <w:t>, D</w:t>
      </w:r>
      <w:r>
        <w:t>F</w:t>
      </w:r>
      <w:r w:rsidRPr="001272BC">
        <w:t>, S</w:t>
      </w:r>
      <w:r>
        <w:t>A</w:t>
      </w:r>
      <w:r w:rsidRPr="001272BC">
        <w:t xml:space="preserve"> Richardson, and İ Tuna (2007) “Corporate Governance, Accounting Outcomes, and Organizational Performance” </w:t>
      </w:r>
      <w:r w:rsidRPr="001272BC">
        <w:rPr>
          <w:i/>
        </w:rPr>
        <w:t>The Accounting Review</w:t>
      </w:r>
      <w:r w:rsidRPr="001272BC">
        <w:t xml:space="preserve"> 82(4): 963-1008.</w:t>
      </w:r>
    </w:p>
    <w:p w:rsidR="00CD5559" w:rsidRPr="001272BC" w:rsidRDefault="00CD5559" w:rsidP="00CD5559">
      <w:pPr>
        <w:ind w:left="720" w:hanging="720"/>
        <w:jc w:val="both"/>
        <w:rPr>
          <w:rFonts w:eastAsia="Times New Roman"/>
          <w:color w:val="030303"/>
        </w:rPr>
      </w:pPr>
      <w:proofErr w:type="gramStart"/>
      <w:r w:rsidRPr="001272BC">
        <w:rPr>
          <w:rFonts w:eastAsia="Times New Roman"/>
          <w:color w:val="030303"/>
        </w:rPr>
        <w:t xml:space="preserve">Lee, SJ, D </w:t>
      </w:r>
      <w:proofErr w:type="spellStart"/>
      <w:r w:rsidRPr="001272BC">
        <w:rPr>
          <w:rFonts w:eastAsia="Times New Roman"/>
          <w:color w:val="030303"/>
        </w:rPr>
        <w:t>Mayers</w:t>
      </w:r>
      <w:proofErr w:type="spellEnd"/>
      <w:r w:rsidRPr="001272BC">
        <w:rPr>
          <w:rFonts w:eastAsia="Times New Roman"/>
          <w:color w:val="030303"/>
        </w:rPr>
        <w:t>, and C Smith (1997).</w:t>
      </w:r>
      <w:proofErr w:type="gramEnd"/>
      <w:r w:rsidRPr="001272BC">
        <w:rPr>
          <w:rFonts w:eastAsia="Times New Roman"/>
          <w:color w:val="030303"/>
        </w:rPr>
        <w:t xml:space="preserve"> Guaranty Funds and Risk-Taking: Evidence from the Insurance Industry. </w:t>
      </w:r>
      <w:r w:rsidRPr="00F0387F">
        <w:rPr>
          <w:rFonts w:eastAsia="Times New Roman"/>
          <w:i/>
          <w:color w:val="030303"/>
        </w:rPr>
        <w:t>Journal of Financial Economics</w:t>
      </w:r>
      <w:r w:rsidRPr="001272BC">
        <w:rPr>
          <w:rFonts w:eastAsia="Times New Roman"/>
          <w:color w:val="030303"/>
        </w:rPr>
        <w:t xml:space="preserve"> 44: 3-24.</w:t>
      </w:r>
    </w:p>
    <w:p w:rsidR="00CD5559" w:rsidRPr="001272BC" w:rsidRDefault="00CD5559" w:rsidP="00CD5559">
      <w:pPr>
        <w:ind w:left="720" w:hanging="720"/>
        <w:jc w:val="both"/>
        <w:rPr>
          <w:rFonts w:eastAsia="Times New Roman"/>
        </w:rPr>
      </w:pPr>
      <w:proofErr w:type="gramStart"/>
      <w:r w:rsidRPr="001272BC">
        <w:rPr>
          <w:rFonts w:eastAsia="Times New Roman"/>
        </w:rPr>
        <w:t xml:space="preserve">Lehmann, E, and J </w:t>
      </w:r>
      <w:proofErr w:type="spellStart"/>
      <w:r w:rsidRPr="001272BC">
        <w:rPr>
          <w:rFonts w:eastAsia="Times New Roman"/>
        </w:rPr>
        <w:t>Weigand</w:t>
      </w:r>
      <w:proofErr w:type="spellEnd"/>
      <w:r w:rsidRPr="001272BC">
        <w:rPr>
          <w:rFonts w:eastAsia="Times New Roman"/>
        </w:rPr>
        <w:t xml:space="preserve"> (2000).</w:t>
      </w:r>
      <w:proofErr w:type="gramEnd"/>
      <w:r w:rsidRPr="001272BC">
        <w:rPr>
          <w:rFonts w:eastAsia="Times New Roman"/>
        </w:rPr>
        <w:t xml:space="preserve"> Does the Governed Corporation Perform Better? </w:t>
      </w:r>
      <w:proofErr w:type="gramStart"/>
      <w:r w:rsidRPr="001272BC">
        <w:rPr>
          <w:rFonts w:eastAsia="Times New Roman"/>
        </w:rPr>
        <w:t>Governance Structures and Corporate Performance in Germany.</w:t>
      </w:r>
      <w:proofErr w:type="gramEnd"/>
      <w:r w:rsidRPr="001272BC">
        <w:rPr>
          <w:rFonts w:eastAsia="Times New Roman"/>
        </w:rPr>
        <w:t xml:space="preserve"> </w:t>
      </w:r>
      <w:r w:rsidRPr="00F0387F">
        <w:rPr>
          <w:rFonts w:eastAsia="Times New Roman"/>
          <w:i/>
        </w:rPr>
        <w:t>European Finance Review</w:t>
      </w:r>
      <w:r w:rsidRPr="001272BC">
        <w:rPr>
          <w:rFonts w:eastAsia="Times New Roman"/>
        </w:rPr>
        <w:t xml:space="preserve"> 4(2): 157-195.</w:t>
      </w:r>
    </w:p>
    <w:p w:rsidR="00CD5559" w:rsidRPr="001272BC" w:rsidRDefault="00CD5559" w:rsidP="00CD5559">
      <w:pPr>
        <w:pStyle w:val="Default"/>
        <w:widowControl w:val="0"/>
        <w:autoSpaceDE/>
        <w:autoSpaceDN/>
        <w:adjustRightInd/>
        <w:ind w:left="720" w:hanging="720"/>
        <w:jc w:val="both"/>
        <w:rPr>
          <w:rFonts w:ascii="Times" w:hAnsi="Times"/>
          <w:color w:val="auto"/>
        </w:rPr>
      </w:pPr>
      <w:r w:rsidRPr="001272BC">
        <w:rPr>
          <w:rFonts w:ascii="Times" w:hAnsi="Times" w:cs="Arial"/>
          <w:color w:val="auto"/>
        </w:rPr>
        <w:t>Liebenberg, A</w:t>
      </w:r>
      <w:r>
        <w:rPr>
          <w:rFonts w:ascii="Times" w:hAnsi="Times" w:cs="Arial"/>
          <w:color w:val="auto"/>
        </w:rPr>
        <w:t>P,</w:t>
      </w:r>
      <w:r w:rsidRPr="001272BC">
        <w:rPr>
          <w:rFonts w:ascii="Times" w:hAnsi="Times" w:cs="Arial"/>
          <w:color w:val="auto"/>
        </w:rPr>
        <w:t xml:space="preserve"> and D</w:t>
      </w:r>
      <w:r>
        <w:rPr>
          <w:rFonts w:ascii="Times" w:hAnsi="Times" w:cs="Arial"/>
          <w:color w:val="auto"/>
        </w:rPr>
        <w:t>W</w:t>
      </w:r>
      <w:r w:rsidRPr="001272BC">
        <w:rPr>
          <w:rFonts w:ascii="Times" w:hAnsi="Times" w:cs="Arial"/>
          <w:color w:val="auto"/>
        </w:rPr>
        <w:t xml:space="preserve"> Sommer, (2008), “Effects of Corporate Diversification: Evidence </w:t>
      </w:r>
      <w:proofErr w:type="gramStart"/>
      <w:r w:rsidRPr="001272BC">
        <w:rPr>
          <w:rFonts w:ascii="Times" w:hAnsi="Times" w:cs="Arial"/>
          <w:color w:val="auto"/>
        </w:rPr>
        <w:t>From</w:t>
      </w:r>
      <w:proofErr w:type="gramEnd"/>
      <w:r w:rsidRPr="001272BC">
        <w:rPr>
          <w:rFonts w:ascii="Times" w:hAnsi="Times" w:cs="Arial"/>
          <w:color w:val="auto"/>
        </w:rPr>
        <w:t xml:space="preserve"> the Property-Liability Insurance Industry,” </w:t>
      </w:r>
      <w:r w:rsidRPr="001272BC">
        <w:rPr>
          <w:rFonts w:ascii="Times" w:hAnsi="Times" w:cs="Arial"/>
          <w:i/>
          <w:color w:val="auto"/>
        </w:rPr>
        <w:t>Journal of Risk and Insurance</w:t>
      </w:r>
      <w:r w:rsidRPr="001272BC">
        <w:rPr>
          <w:rFonts w:ascii="Times" w:hAnsi="Times" w:cs="Arial"/>
          <w:color w:val="auto"/>
        </w:rPr>
        <w:t>, 75: 893–919.</w:t>
      </w:r>
    </w:p>
    <w:p w:rsidR="00CD5559" w:rsidRPr="001272BC" w:rsidRDefault="00CD5559" w:rsidP="00CD5559">
      <w:pPr>
        <w:ind w:left="720" w:hanging="720"/>
        <w:jc w:val="both"/>
        <w:rPr>
          <w:rFonts w:eastAsia="Times New Roman"/>
        </w:rPr>
      </w:pPr>
      <w:r w:rsidRPr="001272BC">
        <w:rPr>
          <w:rFonts w:eastAsia="Times New Roman"/>
        </w:rPr>
        <w:t xml:space="preserve">Main, BGM, CA O’Reilly, and J Wade (1993). Top Executive Pay: Tournament or Teamwork? </w:t>
      </w:r>
      <w:r w:rsidRPr="00F0387F">
        <w:rPr>
          <w:rFonts w:eastAsia="Times New Roman"/>
          <w:i/>
        </w:rPr>
        <w:t>Journal of Labor Economics</w:t>
      </w:r>
      <w:r w:rsidRPr="001272BC">
        <w:rPr>
          <w:rFonts w:eastAsia="Times New Roman"/>
        </w:rPr>
        <w:t xml:space="preserve"> 11(4): 606–628.</w:t>
      </w:r>
    </w:p>
    <w:p w:rsidR="00CD5559" w:rsidRPr="001272BC" w:rsidRDefault="00CD5559" w:rsidP="00CD5559">
      <w:pPr>
        <w:ind w:left="720" w:hanging="720"/>
        <w:jc w:val="both"/>
        <w:rPr>
          <w:rFonts w:eastAsia="Times New Roman"/>
        </w:rPr>
      </w:pPr>
      <w:proofErr w:type="spellStart"/>
      <w:r w:rsidRPr="001272BC">
        <w:rPr>
          <w:rFonts w:eastAsia="Times New Roman"/>
        </w:rPr>
        <w:t>Marris</w:t>
      </w:r>
      <w:proofErr w:type="spellEnd"/>
      <w:r w:rsidRPr="001272BC">
        <w:rPr>
          <w:rFonts w:eastAsia="Times New Roman"/>
        </w:rPr>
        <w:t xml:space="preserve">, R (1963). </w:t>
      </w:r>
      <w:proofErr w:type="gramStart"/>
      <w:r w:rsidRPr="001272BC">
        <w:rPr>
          <w:rFonts w:eastAsia="Times New Roman"/>
        </w:rPr>
        <w:t>A Model of the ‘Managerial’ Enterprise.</w:t>
      </w:r>
      <w:proofErr w:type="gramEnd"/>
      <w:r w:rsidRPr="001272BC">
        <w:rPr>
          <w:rFonts w:eastAsia="Times New Roman"/>
        </w:rPr>
        <w:t xml:space="preserve"> </w:t>
      </w:r>
      <w:r w:rsidRPr="00F0387F">
        <w:rPr>
          <w:rFonts w:eastAsia="Times New Roman"/>
          <w:i/>
        </w:rPr>
        <w:t>The Quarterly Journal of Economics</w:t>
      </w:r>
      <w:r w:rsidRPr="001272BC">
        <w:rPr>
          <w:rFonts w:eastAsia="Times New Roman"/>
        </w:rPr>
        <w:t xml:space="preserve"> 77(2): 185–209.</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Mayers</w:t>
      </w:r>
      <w:proofErr w:type="spellEnd"/>
      <w:r w:rsidRPr="001272BC">
        <w:rPr>
          <w:rFonts w:eastAsia="Times New Roman"/>
        </w:rPr>
        <w:t>, D, and CW Smith, Jr. (1992).</w:t>
      </w:r>
      <w:proofErr w:type="gramEnd"/>
      <w:r w:rsidRPr="001272BC">
        <w:rPr>
          <w:rFonts w:eastAsia="Times New Roman"/>
        </w:rPr>
        <w:t xml:space="preserve"> </w:t>
      </w:r>
      <w:proofErr w:type="gramStart"/>
      <w:r w:rsidRPr="001272BC">
        <w:rPr>
          <w:rFonts w:eastAsia="Times New Roman"/>
        </w:rPr>
        <w:t>Executive Compensation in the Life Insurance Industry.</w:t>
      </w:r>
      <w:proofErr w:type="gramEnd"/>
      <w:r w:rsidRPr="001272BC">
        <w:rPr>
          <w:rFonts w:eastAsia="Times New Roman"/>
        </w:rPr>
        <w:t xml:space="preserve"> </w:t>
      </w:r>
      <w:r w:rsidRPr="00F0387F">
        <w:rPr>
          <w:rFonts w:eastAsia="Times New Roman"/>
          <w:i/>
        </w:rPr>
        <w:t>Journal of Business</w:t>
      </w:r>
      <w:r w:rsidRPr="001272BC">
        <w:rPr>
          <w:rFonts w:eastAsia="Times New Roman"/>
        </w:rPr>
        <w:t xml:space="preserve"> 65(1): 51–74.</w:t>
      </w:r>
    </w:p>
    <w:p w:rsidR="00CD5559" w:rsidRPr="001272BC" w:rsidRDefault="00CD5559" w:rsidP="00CD5559">
      <w:pPr>
        <w:pStyle w:val="ListParagraph"/>
        <w:ind w:left="720" w:hanging="720"/>
        <w:jc w:val="both"/>
      </w:pPr>
      <w:proofErr w:type="spellStart"/>
      <w:r w:rsidRPr="001272BC">
        <w:t>Mehran</w:t>
      </w:r>
      <w:proofErr w:type="spellEnd"/>
      <w:r w:rsidRPr="001272BC">
        <w:t xml:space="preserve">, </w:t>
      </w:r>
      <w:proofErr w:type="spellStart"/>
      <w:r w:rsidRPr="001272BC">
        <w:t>Hamid</w:t>
      </w:r>
      <w:proofErr w:type="spellEnd"/>
      <w:r w:rsidRPr="001272BC">
        <w:t xml:space="preserve"> (1995) “Executive compensation structure, ownership, and firm performance </w:t>
      </w:r>
      <w:r w:rsidRPr="001272BC">
        <w:rPr>
          <w:i/>
        </w:rPr>
        <w:t xml:space="preserve">Journal of Financial Economics” </w:t>
      </w:r>
      <w:r w:rsidRPr="001272BC">
        <w:t>38(2): 163–184</w:t>
      </w:r>
    </w:p>
    <w:p w:rsidR="00CD5559" w:rsidRPr="001272BC" w:rsidRDefault="00CD5559" w:rsidP="00CD5559">
      <w:pPr>
        <w:ind w:left="720" w:hanging="720"/>
        <w:jc w:val="both"/>
        <w:rPr>
          <w:rFonts w:eastAsia="Times New Roman"/>
        </w:rPr>
      </w:pPr>
      <w:proofErr w:type="gramStart"/>
      <w:r w:rsidRPr="001272BC">
        <w:rPr>
          <w:rFonts w:eastAsia="Times New Roman"/>
        </w:rPr>
        <w:t>Miller, D, and I Le Breton-Miller (2003).</w:t>
      </w:r>
      <w:proofErr w:type="gramEnd"/>
      <w:r w:rsidRPr="001272BC">
        <w:rPr>
          <w:rFonts w:eastAsia="Times New Roman"/>
        </w:rPr>
        <w:t xml:space="preserve"> Challenge versus advantage in family business. </w:t>
      </w:r>
      <w:r w:rsidRPr="00F0387F">
        <w:rPr>
          <w:rFonts w:eastAsia="Times New Roman"/>
          <w:i/>
        </w:rPr>
        <w:t>Strategic Organization</w:t>
      </w:r>
      <w:r w:rsidRPr="001272BC">
        <w:rPr>
          <w:rFonts w:eastAsia="Times New Roman"/>
        </w:rPr>
        <w:t xml:space="preserve"> 1(1): 127–134. </w:t>
      </w:r>
    </w:p>
    <w:p w:rsidR="00CD5559" w:rsidRPr="001272BC" w:rsidRDefault="00CD5559" w:rsidP="00CD5559">
      <w:pPr>
        <w:ind w:left="720" w:hanging="720"/>
        <w:jc w:val="both"/>
        <w:rPr>
          <w:rFonts w:eastAsia="Times New Roman"/>
        </w:rPr>
      </w:pPr>
      <w:proofErr w:type="gramStart"/>
      <w:r w:rsidRPr="001272BC">
        <w:rPr>
          <w:rFonts w:eastAsia="Times New Roman"/>
        </w:rPr>
        <w:t>Miller, D, and I Le Breton-Miller (2006).</w:t>
      </w:r>
      <w:proofErr w:type="gramEnd"/>
      <w:r w:rsidRPr="001272BC">
        <w:rPr>
          <w:rFonts w:eastAsia="Times New Roman"/>
        </w:rPr>
        <w:t xml:space="preserve"> Family Governance and Firm Performance: Agency, Stewardship, and Capabilities. </w:t>
      </w:r>
      <w:r w:rsidRPr="00F0387F">
        <w:rPr>
          <w:rFonts w:eastAsia="Times New Roman"/>
          <w:i/>
        </w:rPr>
        <w:t>Family Business Review</w:t>
      </w:r>
      <w:r w:rsidRPr="001272BC">
        <w:rPr>
          <w:rFonts w:eastAsia="Times New Roman"/>
        </w:rPr>
        <w:t xml:space="preserve"> 19(1): 73-87.</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Morck</w:t>
      </w:r>
      <w:proofErr w:type="spellEnd"/>
      <w:r w:rsidRPr="001272BC">
        <w:rPr>
          <w:rFonts w:eastAsia="Times New Roman"/>
        </w:rPr>
        <w:t xml:space="preserve">, R, A </w:t>
      </w:r>
      <w:proofErr w:type="spellStart"/>
      <w:r w:rsidRPr="001272BC">
        <w:rPr>
          <w:rFonts w:eastAsia="Times New Roman"/>
        </w:rPr>
        <w:t>Shleifer</w:t>
      </w:r>
      <w:proofErr w:type="spellEnd"/>
      <w:r w:rsidRPr="001272BC">
        <w:rPr>
          <w:rFonts w:eastAsia="Times New Roman"/>
        </w:rPr>
        <w:t xml:space="preserve"> and RW </w:t>
      </w:r>
      <w:proofErr w:type="spellStart"/>
      <w:r w:rsidRPr="001272BC">
        <w:rPr>
          <w:rFonts w:eastAsia="Times New Roman"/>
        </w:rPr>
        <w:t>Vishny</w:t>
      </w:r>
      <w:proofErr w:type="spellEnd"/>
      <w:r w:rsidRPr="001272BC">
        <w:rPr>
          <w:rFonts w:eastAsia="Times New Roman"/>
        </w:rPr>
        <w:t xml:space="preserve"> (1988).</w:t>
      </w:r>
      <w:proofErr w:type="gramEnd"/>
      <w:r w:rsidRPr="001272BC">
        <w:rPr>
          <w:rFonts w:eastAsia="Times New Roman"/>
        </w:rPr>
        <w:t xml:space="preserve"> Management Ownership and Market Valuation: an Empirical Analysis</w:t>
      </w:r>
      <w:r w:rsidRPr="00F0387F">
        <w:rPr>
          <w:rFonts w:eastAsia="Times New Roman"/>
          <w:i/>
        </w:rPr>
        <w:t>, Journal of Financial Economics</w:t>
      </w:r>
      <w:r w:rsidRPr="001272BC">
        <w:rPr>
          <w:rFonts w:eastAsia="Times New Roman"/>
        </w:rPr>
        <w:t xml:space="preserve"> 20: 293-315.</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Morck</w:t>
      </w:r>
      <w:proofErr w:type="spellEnd"/>
      <w:r w:rsidRPr="001272BC">
        <w:rPr>
          <w:rFonts w:eastAsia="Times New Roman"/>
        </w:rPr>
        <w:t xml:space="preserve">, R, and B </w:t>
      </w:r>
      <w:proofErr w:type="spellStart"/>
      <w:r w:rsidRPr="001272BC">
        <w:rPr>
          <w:rFonts w:eastAsia="Times New Roman"/>
        </w:rPr>
        <w:t>Yeung</w:t>
      </w:r>
      <w:proofErr w:type="spellEnd"/>
      <w:r w:rsidRPr="001272BC">
        <w:rPr>
          <w:rFonts w:eastAsia="Times New Roman"/>
        </w:rPr>
        <w:t xml:space="preserve"> (2003).</w:t>
      </w:r>
      <w:proofErr w:type="gramEnd"/>
      <w:r w:rsidRPr="001272BC">
        <w:rPr>
          <w:rFonts w:eastAsia="Times New Roman"/>
        </w:rPr>
        <w:t xml:space="preserve"> </w:t>
      </w:r>
      <w:proofErr w:type="gramStart"/>
      <w:r w:rsidRPr="001272BC">
        <w:rPr>
          <w:rFonts w:eastAsia="Times New Roman"/>
        </w:rPr>
        <w:t>Agency problems in large family business groups.</w:t>
      </w:r>
      <w:proofErr w:type="gramEnd"/>
      <w:r w:rsidRPr="001272BC">
        <w:rPr>
          <w:rFonts w:eastAsia="Times New Roman"/>
        </w:rPr>
        <w:t xml:space="preserve"> </w:t>
      </w:r>
      <w:r w:rsidRPr="00F0387F">
        <w:rPr>
          <w:rFonts w:eastAsia="Times New Roman"/>
          <w:i/>
        </w:rPr>
        <w:t>Entrepreneurship Theory and Practice</w:t>
      </w:r>
      <w:r w:rsidRPr="001272BC">
        <w:rPr>
          <w:rFonts w:eastAsia="Times New Roman"/>
        </w:rPr>
        <w:t xml:space="preserve"> 27: 367–382.</w:t>
      </w:r>
    </w:p>
    <w:p w:rsidR="00CD5559" w:rsidRPr="001272BC" w:rsidRDefault="00CD5559" w:rsidP="00CD5559">
      <w:pPr>
        <w:ind w:left="720" w:hanging="720"/>
        <w:jc w:val="both"/>
        <w:rPr>
          <w:rFonts w:eastAsia="Times New Roman"/>
        </w:rPr>
      </w:pPr>
      <w:proofErr w:type="spellStart"/>
      <w:r w:rsidRPr="001272BC">
        <w:rPr>
          <w:rFonts w:eastAsia="Times New Roman"/>
        </w:rPr>
        <w:t>Molz</w:t>
      </w:r>
      <w:proofErr w:type="spellEnd"/>
      <w:r w:rsidRPr="001272BC">
        <w:rPr>
          <w:rFonts w:eastAsia="Times New Roman"/>
        </w:rPr>
        <w:t xml:space="preserve">, R (1988). </w:t>
      </w:r>
      <w:proofErr w:type="gramStart"/>
      <w:r w:rsidRPr="001272BC">
        <w:rPr>
          <w:rFonts w:eastAsia="Times New Roman"/>
        </w:rPr>
        <w:t>Managerial domination of boards of directors and financial performance.</w:t>
      </w:r>
      <w:proofErr w:type="gramEnd"/>
      <w:r w:rsidRPr="001272BC">
        <w:rPr>
          <w:rFonts w:eastAsia="Times New Roman"/>
        </w:rPr>
        <w:t xml:space="preserve"> </w:t>
      </w:r>
      <w:r w:rsidRPr="00F0387F">
        <w:rPr>
          <w:rFonts w:eastAsia="Times New Roman"/>
          <w:i/>
        </w:rPr>
        <w:t>Journal of Business Research</w:t>
      </w:r>
      <w:r w:rsidRPr="001272BC">
        <w:rPr>
          <w:rFonts w:eastAsia="Times New Roman"/>
        </w:rPr>
        <w:t xml:space="preserve"> 16(3): 235–249.</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Nickell</w:t>
      </w:r>
      <w:proofErr w:type="spellEnd"/>
      <w:r w:rsidRPr="001272BC">
        <w:rPr>
          <w:rFonts w:eastAsia="Times New Roman"/>
        </w:rPr>
        <w:t xml:space="preserve">, S, D </w:t>
      </w:r>
      <w:proofErr w:type="spellStart"/>
      <w:r w:rsidRPr="001272BC">
        <w:rPr>
          <w:rFonts w:eastAsia="Times New Roman"/>
        </w:rPr>
        <w:t>Nicolitsas</w:t>
      </w:r>
      <w:proofErr w:type="spellEnd"/>
      <w:r w:rsidRPr="001272BC">
        <w:rPr>
          <w:rFonts w:eastAsia="Times New Roman"/>
        </w:rPr>
        <w:t xml:space="preserve"> and N Dryden (1997).</w:t>
      </w:r>
      <w:proofErr w:type="gramEnd"/>
      <w:r w:rsidRPr="001272BC">
        <w:rPr>
          <w:rFonts w:eastAsia="Times New Roman"/>
        </w:rPr>
        <w:t xml:space="preserve"> What Makes Firms Perform Well? </w:t>
      </w:r>
      <w:r w:rsidRPr="001272BC">
        <w:rPr>
          <w:rFonts w:eastAsia="Times New Roman"/>
          <w:i/>
        </w:rPr>
        <w:t>European Economic Review</w:t>
      </w:r>
      <w:r w:rsidRPr="001272BC">
        <w:rPr>
          <w:rFonts w:eastAsia="Times New Roman"/>
        </w:rPr>
        <w:t xml:space="preserve"> 41: 783–796. </w:t>
      </w:r>
    </w:p>
    <w:p w:rsidR="00CD5559" w:rsidRPr="001272BC" w:rsidRDefault="00CD5559" w:rsidP="00CD5559">
      <w:pPr>
        <w:ind w:left="720" w:hanging="720"/>
        <w:jc w:val="both"/>
        <w:rPr>
          <w:rFonts w:eastAsia="Times New Roman"/>
        </w:rPr>
      </w:pPr>
      <w:proofErr w:type="spellStart"/>
      <w:proofErr w:type="gramStart"/>
      <w:r w:rsidRPr="001272BC">
        <w:rPr>
          <w:rFonts w:eastAsia="Times New Roman"/>
        </w:rPr>
        <w:t>Nourayi</w:t>
      </w:r>
      <w:proofErr w:type="spellEnd"/>
      <w:r w:rsidRPr="001272BC">
        <w:rPr>
          <w:rFonts w:eastAsia="Times New Roman"/>
        </w:rPr>
        <w:t xml:space="preserve">, MM, and SM </w:t>
      </w:r>
      <w:proofErr w:type="spellStart"/>
      <w:r w:rsidRPr="001272BC">
        <w:rPr>
          <w:rFonts w:eastAsia="Times New Roman"/>
        </w:rPr>
        <w:t>Mintz</w:t>
      </w:r>
      <w:proofErr w:type="spellEnd"/>
      <w:r w:rsidRPr="001272BC">
        <w:rPr>
          <w:rFonts w:eastAsia="Times New Roman"/>
        </w:rPr>
        <w:t xml:space="preserve"> (2008).</w:t>
      </w:r>
      <w:proofErr w:type="gramEnd"/>
      <w:r w:rsidRPr="001272BC">
        <w:rPr>
          <w:rFonts w:eastAsia="Times New Roman"/>
        </w:rPr>
        <w:t xml:space="preserve"> Tenure, firm's performance, and CEO's compensation. </w:t>
      </w:r>
      <w:r w:rsidRPr="00F0387F">
        <w:rPr>
          <w:rFonts w:eastAsia="Times New Roman"/>
          <w:i/>
        </w:rPr>
        <w:t>Managerial Finance</w:t>
      </w:r>
      <w:r w:rsidRPr="001272BC">
        <w:rPr>
          <w:rFonts w:eastAsia="Times New Roman"/>
        </w:rPr>
        <w:t xml:space="preserve"> 34(8): 524-536.</w:t>
      </w:r>
    </w:p>
    <w:p w:rsidR="00CD5559" w:rsidRPr="001272BC" w:rsidRDefault="00CD5559" w:rsidP="00CD5559">
      <w:pPr>
        <w:ind w:left="720" w:hanging="720"/>
        <w:jc w:val="both"/>
        <w:rPr>
          <w:rFonts w:eastAsia="Times New Roman"/>
        </w:rPr>
      </w:pPr>
      <w:r w:rsidRPr="001272BC">
        <w:rPr>
          <w:rFonts w:eastAsia="Times New Roman"/>
        </w:rPr>
        <w:t xml:space="preserve">Pound, J (1991). Proxy voting and the SEC: Investor protection versus market efficiency. </w:t>
      </w:r>
      <w:r w:rsidRPr="00F0387F">
        <w:rPr>
          <w:rFonts w:eastAsia="Times New Roman"/>
          <w:i/>
        </w:rPr>
        <w:t>Journal of Financial Economics</w:t>
      </w:r>
      <w:r w:rsidRPr="001272BC">
        <w:rPr>
          <w:rFonts w:eastAsia="Times New Roman"/>
        </w:rPr>
        <w:t xml:space="preserve"> 29(2): 241-285.</w:t>
      </w:r>
    </w:p>
    <w:p w:rsidR="00CD5559" w:rsidRDefault="00CD5559" w:rsidP="00CD5559">
      <w:pPr>
        <w:ind w:left="720" w:hanging="720"/>
        <w:jc w:val="both"/>
        <w:rPr>
          <w:rFonts w:eastAsia="Times New Roman"/>
        </w:rPr>
      </w:pPr>
      <w:proofErr w:type="spellStart"/>
      <w:proofErr w:type="gramStart"/>
      <w:r w:rsidRPr="001272BC">
        <w:rPr>
          <w:rFonts w:eastAsia="Times New Roman"/>
        </w:rPr>
        <w:t>Rechner</w:t>
      </w:r>
      <w:proofErr w:type="spellEnd"/>
      <w:r w:rsidRPr="001272BC">
        <w:rPr>
          <w:rFonts w:eastAsia="Times New Roman"/>
        </w:rPr>
        <w:t>, PL, and DR Dalton (1991).</w:t>
      </w:r>
      <w:proofErr w:type="gramEnd"/>
      <w:r w:rsidRPr="001272BC">
        <w:rPr>
          <w:rFonts w:eastAsia="Times New Roman"/>
        </w:rPr>
        <w:t xml:space="preserve"> CEO duality and organizational performance: A longitudinal analysis. </w:t>
      </w:r>
      <w:r w:rsidRPr="00F0387F">
        <w:rPr>
          <w:rFonts w:eastAsia="Times New Roman"/>
          <w:i/>
        </w:rPr>
        <w:t>Strategic Management Journal</w:t>
      </w:r>
      <w:r w:rsidRPr="001272BC">
        <w:rPr>
          <w:rFonts w:eastAsia="Times New Roman"/>
        </w:rPr>
        <w:t xml:space="preserve"> 12(2): 155-160.</w:t>
      </w:r>
    </w:p>
    <w:p w:rsidR="00516FAE" w:rsidRPr="00516FAE" w:rsidRDefault="00891E36" w:rsidP="00CD5559">
      <w:pPr>
        <w:ind w:left="720" w:hanging="720"/>
        <w:jc w:val="both"/>
        <w:rPr>
          <w:rFonts w:eastAsia="Times New Roman"/>
          <w:sz w:val="32"/>
        </w:rPr>
      </w:pPr>
      <w:proofErr w:type="spellStart"/>
      <w:proofErr w:type="gramStart"/>
      <w:r w:rsidRPr="00891E36">
        <w:rPr>
          <w:szCs w:val="20"/>
        </w:rPr>
        <w:t>Saez</w:t>
      </w:r>
      <w:proofErr w:type="spellEnd"/>
      <w:r w:rsidRPr="00891E36">
        <w:rPr>
          <w:szCs w:val="20"/>
        </w:rPr>
        <w:t xml:space="preserve">, </w:t>
      </w:r>
      <w:r w:rsidR="00516FAE">
        <w:rPr>
          <w:szCs w:val="20"/>
        </w:rPr>
        <w:t>E</w:t>
      </w:r>
      <w:r w:rsidRPr="00891E36">
        <w:rPr>
          <w:szCs w:val="20"/>
        </w:rPr>
        <w:t xml:space="preserve">, and </w:t>
      </w:r>
      <w:r w:rsidR="00516FAE">
        <w:rPr>
          <w:szCs w:val="20"/>
        </w:rPr>
        <w:t>G</w:t>
      </w:r>
      <w:r w:rsidRPr="00891E36">
        <w:rPr>
          <w:szCs w:val="20"/>
        </w:rPr>
        <w:t xml:space="preserve"> </w:t>
      </w:r>
      <w:proofErr w:type="spellStart"/>
      <w:r w:rsidRPr="00891E36">
        <w:rPr>
          <w:szCs w:val="20"/>
        </w:rPr>
        <w:t>Zucman</w:t>
      </w:r>
      <w:proofErr w:type="spellEnd"/>
      <w:r w:rsidRPr="00891E36">
        <w:rPr>
          <w:szCs w:val="20"/>
        </w:rPr>
        <w:t xml:space="preserve"> (201</w:t>
      </w:r>
      <w:r w:rsidR="00D17E48">
        <w:rPr>
          <w:szCs w:val="20"/>
        </w:rPr>
        <w:t>5</w:t>
      </w:r>
      <w:r w:rsidRPr="00891E36">
        <w:rPr>
          <w:szCs w:val="20"/>
        </w:rPr>
        <w:t>)</w:t>
      </w:r>
      <w:r w:rsidR="00516FAE">
        <w:rPr>
          <w:szCs w:val="20"/>
        </w:rPr>
        <w:t>.</w:t>
      </w:r>
      <w:proofErr w:type="gramEnd"/>
      <w:r w:rsidR="00516FAE">
        <w:rPr>
          <w:szCs w:val="20"/>
        </w:rPr>
        <w:t xml:space="preserve"> </w:t>
      </w:r>
      <w:proofErr w:type="gramStart"/>
      <w:r w:rsidRPr="00891E36">
        <w:rPr>
          <w:szCs w:val="20"/>
        </w:rPr>
        <w:t>Wealth Inequality in the United States since 1913; Evidence from Capitalized Income Tax Data</w:t>
      </w:r>
      <w:r w:rsidR="00516FAE">
        <w:rPr>
          <w:szCs w:val="20"/>
        </w:rPr>
        <w:t>.</w:t>
      </w:r>
      <w:proofErr w:type="gramEnd"/>
      <w:r w:rsidR="00516FAE">
        <w:rPr>
          <w:szCs w:val="20"/>
        </w:rPr>
        <w:t xml:space="preserve"> </w:t>
      </w:r>
      <w:r w:rsidR="00516FAE">
        <w:rPr>
          <w:i/>
          <w:szCs w:val="20"/>
        </w:rPr>
        <w:t xml:space="preserve">Quarterly Journal of </w:t>
      </w:r>
      <w:proofErr w:type="spellStart"/>
      <w:r w:rsidR="00516FAE">
        <w:rPr>
          <w:i/>
          <w:szCs w:val="20"/>
        </w:rPr>
        <w:t>Ecnonomics</w:t>
      </w:r>
      <w:proofErr w:type="spellEnd"/>
      <w:r w:rsidR="00516FAE">
        <w:rPr>
          <w:szCs w:val="20"/>
        </w:rPr>
        <w:t xml:space="preserve"> 131(2): 519-578.</w:t>
      </w:r>
    </w:p>
    <w:p w:rsidR="00CD5559" w:rsidRPr="001272BC" w:rsidRDefault="00CD5559" w:rsidP="00CD5559">
      <w:pPr>
        <w:ind w:left="720" w:hanging="720"/>
        <w:jc w:val="both"/>
      </w:pPr>
      <w:proofErr w:type="spellStart"/>
      <w:r w:rsidRPr="001272BC">
        <w:t>Scheifer</w:t>
      </w:r>
      <w:proofErr w:type="spellEnd"/>
      <w:r w:rsidRPr="001272BC">
        <w:t>, A</w:t>
      </w:r>
      <w:r>
        <w:t>,</w:t>
      </w:r>
      <w:r w:rsidRPr="001272BC">
        <w:t xml:space="preserve"> and R</w:t>
      </w:r>
      <w:r>
        <w:t>W</w:t>
      </w:r>
      <w:r w:rsidRPr="001272BC">
        <w:t xml:space="preserve"> </w:t>
      </w:r>
      <w:proofErr w:type="spellStart"/>
      <w:r w:rsidRPr="001272BC">
        <w:t>Vishny</w:t>
      </w:r>
      <w:proofErr w:type="spellEnd"/>
      <w:r w:rsidRPr="001272BC">
        <w:t xml:space="preserve"> (1997) ‘A survey of corporate governance’ </w:t>
      </w:r>
      <w:r w:rsidRPr="001272BC">
        <w:rPr>
          <w:i/>
          <w:iCs/>
        </w:rPr>
        <w:t>The Journal of Finance</w:t>
      </w:r>
      <w:r w:rsidRPr="001272BC">
        <w:t xml:space="preserve"> 52(2): 737-783.</w:t>
      </w:r>
    </w:p>
    <w:p w:rsidR="00CD5559" w:rsidRPr="001272BC" w:rsidRDefault="00CD5559" w:rsidP="00CD5559">
      <w:pPr>
        <w:ind w:left="720" w:hanging="720"/>
        <w:jc w:val="both"/>
        <w:rPr>
          <w:rFonts w:eastAsia="Times New Roman"/>
        </w:rPr>
      </w:pPr>
      <w:proofErr w:type="gramStart"/>
      <w:r w:rsidRPr="001272BC">
        <w:rPr>
          <w:rFonts w:eastAsia="Times New Roman"/>
        </w:rPr>
        <w:t xml:space="preserve">Schulze, WS, MH </w:t>
      </w:r>
      <w:proofErr w:type="spellStart"/>
      <w:r w:rsidRPr="001272BC">
        <w:rPr>
          <w:rFonts w:eastAsia="Times New Roman"/>
        </w:rPr>
        <w:t>Lubatkin</w:t>
      </w:r>
      <w:proofErr w:type="spellEnd"/>
      <w:r w:rsidRPr="001272BC">
        <w:rPr>
          <w:rFonts w:eastAsia="Times New Roman"/>
        </w:rPr>
        <w:t xml:space="preserve">, RN Dino and AK </w:t>
      </w:r>
      <w:proofErr w:type="spellStart"/>
      <w:r w:rsidRPr="001272BC">
        <w:rPr>
          <w:rFonts w:eastAsia="Times New Roman"/>
        </w:rPr>
        <w:t>Buchholtz</w:t>
      </w:r>
      <w:proofErr w:type="spellEnd"/>
      <w:r w:rsidRPr="001272BC">
        <w:rPr>
          <w:rFonts w:eastAsia="Times New Roman"/>
        </w:rPr>
        <w:t xml:space="preserve"> (2001).</w:t>
      </w:r>
      <w:proofErr w:type="gramEnd"/>
      <w:r w:rsidRPr="001272BC">
        <w:rPr>
          <w:rFonts w:eastAsia="Times New Roman"/>
        </w:rPr>
        <w:t xml:space="preserve"> Agency Relationships in Family </w:t>
      </w:r>
      <w:r w:rsidRPr="001272BC">
        <w:rPr>
          <w:rFonts w:eastAsia="Times New Roman"/>
        </w:rPr>
        <w:lastRenderedPageBreak/>
        <w:t xml:space="preserve">Firms: Theory and Evidence. </w:t>
      </w:r>
      <w:r w:rsidRPr="00F0387F">
        <w:rPr>
          <w:rFonts w:eastAsia="Times New Roman"/>
          <w:i/>
        </w:rPr>
        <w:t>Organization Science</w:t>
      </w:r>
      <w:r w:rsidRPr="001272BC">
        <w:rPr>
          <w:rFonts w:eastAsia="Times New Roman"/>
        </w:rPr>
        <w:t xml:space="preserve"> 12(2): 99-116.</w:t>
      </w:r>
    </w:p>
    <w:p w:rsidR="00CD5559" w:rsidRPr="001272BC" w:rsidRDefault="00CD5559" w:rsidP="00CD5559">
      <w:pPr>
        <w:ind w:left="720" w:hanging="720"/>
        <w:jc w:val="both"/>
        <w:rPr>
          <w:rFonts w:eastAsia="Times New Roman"/>
        </w:rPr>
      </w:pPr>
      <w:r w:rsidRPr="001272BC">
        <w:rPr>
          <w:rFonts w:eastAsia="Times New Roman"/>
        </w:rPr>
        <w:t xml:space="preserve">Wooldridge, JM (2013). Introductory Econometrics: A Modern Approach. Mason, OH: South-Western </w:t>
      </w:r>
      <w:proofErr w:type="spellStart"/>
      <w:r w:rsidRPr="001272BC">
        <w:rPr>
          <w:rFonts w:eastAsia="Times New Roman"/>
        </w:rPr>
        <w:t>Cengage</w:t>
      </w:r>
      <w:proofErr w:type="spellEnd"/>
      <w:r w:rsidRPr="001272BC">
        <w:rPr>
          <w:rFonts w:eastAsia="Times New Roman"/>
        </w:rPr>
        <w:t xml:space="preserve"> Learning.</w:t>
      </w:r>
    </w:p>
    <w:p w:rsidR="00CD5559" w:rsidRPr="001E163F" w:rsidRDefault="00CD5559" w:rsidP="00CD5559">
      <w:pPr>
        <w:pStyle w:val="Default"/>
        <w:widowControl w:val="0"/>
        <w:autoSpaceDE/>
        <w:autoSpaceDN/>
        <w:adjustRightInd/>
        <w:ind w:left="720" w:hanging="720"/>
        <w:jc w:val="both"/>
        <w:rPr>
          <w:rFonts w:eastAsia="Times New Roman"/>
        </w:rPr>
      </w:pPr>
      <w:proofErr w:type="spellStart"/>
      <w:proofErr w:type="gramStart"/>
      <w:r w:rsidRPr="001272BC">
        <w:rPr>
          <w:rFonts w:eastAsia="Times New Roman"/>
        </w:rPr>
        <w:t>Yeh</w:t>
      </w:r>
      <w:proofErr w:type="spellEnd"/>
      <w:r w:rsidRPr="001272BC">
        <w:rPr>
          <w:rFonts w:eastAsia="Times New Roman"/>
        </w:rPr>
        <w:t xml:space="preserve">, Y, T Lee and T </w:t>
      </w:r>
      <w:proofErr w:type="spellStart"/>
      <w:r w:rsidRPr="001272BC">
        <w:rPr>
          <w:rFonts w:eastAsia="Times New Roman"/>
        </w:rPr>
        <w:t>Woidtke</w:t>
      </w:r>
      <w:proofErr w:type="spellEnd"/>
      <w:r w:rsidRPr="001272BC">
        <w:rPr>
          <w:rFonts w:eastAsia="Times New Roman"/>
        </w:rPr>
        <w:t xml:space="preserve"> (2001).</w:t>
      </w:r>
      <w:proofErr w:type="gramEnd"/>
      <w:r w:rsidRPr="001272BC">
        <w:rPr>
          <w:rFonts w:eastAsia="Times New Roman"/>
        </w:rPr>
        <w:t xml:space="preserve"> Family Control and Corporate Governance: Evidence from Taiwan. </w:t>
      </w:r>
      <w:r w:rsidRPr="001272BC">
        <w:rPr>
          <w:rFonts w:eastAsia="Times New Roman"/>
          <w:i/>
        </w:rPr>
        <w:t>International Review of Finance</w:t>
      </w:r>
      <w:r w:rsidRPr="001272BC">
        <w:rPr>
          <w:rFonts w:eastAsia="Times New Roman"/>
        </w:rPr>
        <w:t xml:space="preserve"> 2(1-2): 21-48.</w:t>
      </w:r>
    </w:p>
    <w:p w:rsidR="00CD5559" w:rsidRPr="001272BC" w:rsidRDefault="00CD5559" w:rsidP="00CD5559">
      <w:pPr>
        <w:ind w:left="720" w:hanging="720"/>
        <w:jc w:val="both"/>
        <w:rPr>
          <w:rFonts w:eastAsia="Times New Roman"/>
          <w:b/>
          <w:smallCaps/>
          <w:color w:val="030303"/>
        </w:rPr>
      </w:pPr>
      <w:r w:rsidRPr="001272BC">
        <w:rPr>
          <w:rFonts w:eastAsia="Times New Roman"/>
        </w:rPr>
        <w:t xml:space="preserve">Zahra, SA (2005) Entrepreneurial Risk Taking in Family Firms. </w:t>
      </w:r>
      <w:r w:rsidRPr="00AB6CC3">
        <w:rPr>
          <w:rFonts w:eastAsia="Times New Roman"/>
          <w:i/>
        </w:rPr>
        <w:t>Family Business Review</w:t>
      </w:r>
      <w:r w:rsidRPr="001272BC">
        <w:rPr>
          <w:rFonts w:eastAsia="Times New Roman"/>
        </w:rPr>
        <w:t xml:space="preserve"> 18: 23-40</w:t>
      </w:r>
    </w:p>
    <w:p w:rsidR="00BB1130" w:rsidRPr="001272BC" w:rsidRDefault="00BB1130" w:rsidP="00CD5559">
      <w:pPr>
        <w:rPr>
          <w:rFonts w:ascii="Times-Roman" w:hAnsi="Times-Roman"/>
        </w:rPr>
      </w:pPr>
    </w:p>
    <w:sectPr w:rsidR="00BB1130" w:rsidRPr="001272BC" w:rsidSect="00577AFD">
      <w:footerReference w:type="default" r:id="rId11"/>
      <w:type w:val="continuous"/>
      <w:pgSz w:w="12240" w:h="15840"/>
      <w:pgMar w:top="1480" w:right="132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75" w:rsidRDefault="00DA1D75" w:rsidP="00697B23">
      <w:r>
        <w:separator/>
      </w:r>
    </w:p>
  </w:endnote>
  <w:endnote w:type="continuationSeparator" w:id="0">
    <w:p w:rsidR="00DA1D75" w:rsidRDefault="00DA1D75" w:rsidP="00697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Code2000">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659693"/>
      <w:docPartObj>
        <w:docPartGallery w:val="Page Numbers (Bottom of Page)"/>
        <w:docPartUnique/>
      </w:docPartObj>
    </w:sdtPr>
    <w:sdtEndPr>
      <w:rPr>
        <w:noProof/>
      </w:rPr>
    </w:sdtEndPr>
    <w:sdtContent>
      <w:p w:rsidR="00AC7101" w:rsidRDefault="00AC7101">
        <w:pPr>
          <w:pStyle w:val="Footer"/>
          <w:jc w:val="right"/>
        </w:pPr>
        <w:fldSimple w:instr=" PAGE   \* MERGEFORMAT ">
          <w:r w:rsidR="00E55F29">
            <w:rPr>
              <w:noProof/>
            </w:rPr>
            <w:t>33</w:t>
          </w:r>
        </w:fldSimple>
      </w:p>
    </w:sdtContent>
  </w:sdt>
  <w:p w:rsidR="00AC7101" w:rsidRDefault="00AC71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01" w:rsidRDefault="00AC7101">
    <w:pPr>
      <w:spacing w:line="200" w:lineRule="exact"/>
      <w:rPr>
        <w:sz w:val="20"/>
        <w:szCs w:val="20"/>
      </w:rPr>
    </w:pPr>
    <w:r w:rsidRPr="00891E36">
      <w:rPr>
        <w:noProof/>
      </w:rPr>
      <w:pict>
        <v:shapetype id="_x0000_t202" coordsize="21600,21600" o:spt="202" path="m,l,21600r21600,l21600,xe">
          <v:stroke joinstyle="miter"/>
          <v:path gradientshapeok="t" o:connecttype="rect"/>
        </v:shapetype>
        <v:shape id="Text Box 1" o:spid="_x0000_s2049" type="#_x0000_t202" style="position:absolute;margin-left:526pt;margin-top:728.55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" filled="f" stroked="f">
          <v:textbox inset="0,0,0,0">
            <w:txbxContent>
              <w:p w:rsidR="00AC7101" w:rsidRPr="00EB3866" w:rsidRDefault="00AC7101">
                <w:pPr>
                  <w:spacing w:line="265" w:lineRule="exact"/>
                  <w:ind w:left="40"/>
                  <w:rPr>
                    <w:rFonts w:eastAsia="Times New Roman"/>
                  </w:rPr>
                </w:pPr>
                <w:r w:rsidRPr="003E6C85">
                  <w:fldChar w:fldCharType="begin"/>
                </w:r>
                <w:r w:rsidRPr="003E6C85">
                  <w:rPr>
                    <w:rFonts w:eastAsia="Times New Roman"/>
                  </w:rPr>
                  <w:instrText xml:space="preserve"> PAGE </w:instrText>
                </w:r>
                <w:r w:rsidRPr="003E6C85">
                  <w:fldChar w:fldCharType="separate"/>
                </w:r>
                <w:r w:rsidR="00E55F29">
                  <w:rPr>
                    <w:rFonts w:eastAsia="Times New Roman"/>
                    <w:noProof/>
                  </w:rPr>
                  <w:t>40</w:t>
                </w:r>
                <w:r w:rsidRPr="003E6C85">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75" w:rsidRDefault="00DA1D75" w:rsidP="00697B23">
      <w:r>
        <w:separator/>
      </w:r>
    </w:p>
  </w:footnote>
  <w:footnote w:type="continuationSeparator" w:id="0">
    <w:p w:rsidR="00DA1D75" w:rsidRDefault="00DA1D75" w:rsidP="00697B23">
      <w:r>
        <w:continuationSeparator/>
      </w:r>
    </w:p>
  </w:footnote>
  <w:footnote w:id="1">
    <w:p w:rsidR="00AC7101" w:rsidRPr="00986A6F" w:rsidRDefault="00AC7101" w:rsidP="0071529E">
      <w:pPr>
        <w:pStyle w:val="FootnoteText"/>
        <w:jc w:val="both"/>
      </w:pPr>
      <w:r>
        <w:rPr>
          <w:rStyle w:val="FootnoteReference"/>
        </w:rPr>
        <w:footnoteRef/>
      </w:r>
      <w:r>
        <w:t xml:space="preserve"> More than 37% of the firms in our sample are identified as family controlled and the average family ownership in those controlled firms is 40%. By comparison, </w:t>
      </w:r>
      <w:proofErr w:type="spellStart"/>
      <w:r>
        <w:t>Yeh</w:t>
      </w:r>
      <w:proofErr w:type="spellEnd"/>
      <w:r>
        <w:t xml:space="preserve"> </w:t>
      </w:r>
      <w:r>
        <w:rPr>
          <w:i/>
        </w:rPr>
        <w:t>et al.</w:t>
      </w:r>
      <w:r>
        <w:t xml:space="preserve"> (2001) justified a study of Taiwanese ownership because it is, “a country where family control is prevalent… average control by the largest family is 26%”.</w:t>
      </w:r>
    </w:p>
  </w:footnote>
  <w:footnote w:id="2">
    <w:p w:rsidR="00AC7101" w:rsidRDefault="00AC7101" w:rsidP="00A226FF">
      <w:pPr>
        <w:pStyle w:val="FootnoteText"/>
        <w:keepLines/>
        <w:jc w:val="both"/>
      </w:pPr>
      <w:r>
        <w:rPr>
          <w:rStyle w:val="FootnoteReference"/>
        </w:rPr>
        <w:footnoteRef/>
      </w:r>
      <w:r>
        <w:t xml:space="preserve"> </w:t>
      </w:r>
      <w:r w:rsidRPr="009C0B11">
        <w:t xml:space="preserve">The 39 variables considered by </w:t>
      </w:r>
      <w:proofErr w:type="spellStart"/>
      <w:r>
        <w:t>Larcker</w:t>
      </w:r>
      <w:proofErr w:type="spellEnd"/>
      <w:r w:rsidRPr="009C0B11">
        <w:t xml:space="preserve"> </w:t>
      </w:r>
      <w:r>
        <w:rPr>
          <w:i/>
        </w:rPr>
        <w:t xml:space="preserve">et al. </w:t>
      </w:r>
      <w:r w:rsidRPr="009C0B11">
        <w:t>(2007) fall into seven common categories of study in the corporate governance literature (parenthetical has the number of variables in a category): board characteristics (21), stock ownership (4), institutional investor variables (3), debt (2), compensation (2), activist variables (2), and anti-takeover (5).</w:t>
      </w:r>
      <w:r>
        <w:t xml:space="preserve"> We consider the first five categories in this study.</w:t>
      </w:r>
    </w:p>
  </w:footnote>
  <w:footnote w:id="3">
    <w:p w:rsidR="00AC7101" w:rsidRPr="00A71972" w:rsidRDefault="00AC7101" w:rsidP="00A71972">
      <w:pPr>
        <w:pStyle w:val="NormalWeb"/>
        <w:keepLines/>
        <w:spacing w:before="0" w:beforeAutospacing="0" w:after="0" w:afterAutospacing="0"/>
        <w:jc w:val="both"/>
        <w:rPr>
          <w:sz w:val="20"/>
          <w:szCs w:val="20"/>
        </w:rPr>
      </w:pPr>
      <w:r>
        <w:rPr>
          <w:rStyle w:val="FootnoteReference"/>
        </w:rPr>
        <w:footnoteRef/>
      </w:r>
      <w:r w:rsidRPr="006A2C72">
        <w:rPr>
          <w:sz w:val="20"/>
          <w:szCs w:val="20"/>
        </w:rPr>
        <w:t xml:space="preserve"> </w:t>
      </w:r>
      <w:r>
        <w:rPr>
          <w:sz w:val="20"/>
          <w:szCs w:val="20"/>
        </w:rPr>
        <w:t xml:space="preserve">For a discussion of wealth concentration, see </w:t>
      </w:r>
      <w:proofErr w:type="spellStart"/>
      <w:r w:rsidRPr="000B3DE4">
        <w:rPr>
          <w:sz w:val="20"/>
          <w:szCs w:val="20"/>
        </w:rPr>
        <w:t>Saez</w:t>
      </w:r>
      <w:proofErr w:type="spellEnd"/>
      <w:r w:rsidRPr="000B3DE4">
        <w:rPr>
          <w:sz w:val="20"/>
          <w:szCs w:val="20"/>
        </w:rPr>
        <w:t xml:space="preserve">, </w:t>
      </w:r>
      <w:r>
        <w:rPr>
          <w:sz w:val="20"/>
          <w:szCs w:val="20"/>
        </w:rPr>
        <w:t>and</w:t>
      </w:r>
      <w:r w:rsidRPr="000B3DE4">
        <w:rPr>
          <w:sz w:val="20"/>
          <w:szCs w:val="20"/>
        </w:rPr>
        <w:t xml:space="preserve"> </w:t>
      </w:r>
      <w:proofErr w:type="spellStart"/>
      <w:r w:rsidRPr="000B3DE4">
        <w:rPr>
          <w:sz w:val="20"/>
          <w:szCs w:val="20"/>
        </w:rPr>
        <w:t>Zucman</w:t>
      </w:r>
      <w:proofErr w:type="spellEnd"/>
      <w:r w:rsidRPr="000B3DE4">
        <w:rPr>
          <w:sz w:val="20"/>
          <w:szCs w:val="20"/>
        </w:rPr>
        <w:t xml:space="preserve"> </w:t>
      </w:r>
      <w:r>
        <w:rPr>
          <w:sz w:val="20"/>
          <w:szCs w:val="20"/>
        </w:rPr>
        <w:t>(</w:t>
      </w:r>
      <w:r w:rsidRPr="000B3DE4">
        <w:rPr>
          <w:sz w:val="20"/>
          <w:szCs w:val="20"/>
        </w:rPr>
        <w:t>201</w:t>
      </w:r>
      <w:r>
        <w:rPr>
          <w:sz w:val="20"/>
          <w:szCs w:val="20"/>
        </w:rPr>
        <w:t>5)</w:t>
      </w:r>
      <w:r w:rsidRPr="000B3DE4">
        <w:rPr>
          <w:sz w:val="20"/>
          <w:szCs w:val="20"/>
        </w:rPr>
        <w:t xml:space="preserve">. </w:t>
      </w:r>
      <w:r w:rsidRPr="00A71972">
        <w:rPr>
          <w:sz w:val="20"/>
          <w:szCs w:val="20"/>
        </w:rPr>
        <w:t xml:space="preserve">“Our new wealth distribution series reveal {that} ... wealth inequality appears to have followed a U-shaped evolution since 1913, with a marked increase since the 1980s.” These observations are also consistent with international evidence from Canada, Germany, and Taiwan (La </w:t>
      </w:r>
      <w:proofErr w:type="spellStart"/>
      <w:r w:rsidRPr="00A71972">
        <w:rPr>
          <w:sz w:val="20"/>
          <w:szCs w:val="20"/>
        </w:rPr>
        <w:t>Porta</w:t>
      </w:r>
      <w:proofErr w:type="spellEnd"/>
      <w:r w:rsidRPr="00A71972">
        <w:rPr>
          <w:sz w:val="20"/>
          <w:szCs w:val="20"/>
        </w:rPr>
        <w:t xml:space="preserve"> </w:t>
      </w:r>
      <w:r w:rsidRPr="00A71972">
        <w:rPr>
          <w:i/>
          <w:sz w:val="20"/>
          <w:szCs w:val="20"/>
        </w:rPr>
        <w:t xml:space="preserve">et al. </w:t>
      </w:r>
      <w:r w:rsidRPr="00A71972">
        <w:rPr>
          <w:sz w:val="20"/>
          <w:szCs w:val="20"/>
        </w:rPr>
        <w:t xml:space="preserve">1998; Klein </w:t>
      </w:r>
      <w:r w:rsidRPr="00A71972">
        <w:rPr>
          <w:i/>
          <w:sz w:val="20"/>
          <w:szCs w:val="20"/>
        </w:rPr>
        <w:t xml:space="preserve">et al. </w:t>
      </w:r>
      <w:r w:rsidRPr="00A71972">
        <w:rPr>
          <w:sz w:val="20"/>
          <w:szCs w:val="20"/>
        </w:rPr>
        <w:t xml:space="preserve">2005; Lehmann </w:t>
      </w:r>
      <w:r>
        <w:rPr>
          <w:sz w:val="20"/>
          <w:szCs w:val="20"/>
        </w:rPr>
        <w:t>and</w:t>
      </w:r>
      <w:r w:rsidRPr="00A71972">
        <w:rPr>
          <w:sz w:val="20"/>
          <w:szCs w:val="20"/>
        </w:rPr>
        <w:t xml:space="preserve"> </w:t>
      </w:r>
      <w:proofErr w:type="spellStart"/>
      <w:r w:rsidRPr="00A71972">
        <w:rPr>
          <w:sz w:val="20"/>
          <w:szCs w:val="20"/>
        </w:rPr>
        <w:t>Weigand</w:t>
      </w:r>
      <w:proofErr w:type="spellEnd"/>
      <w:r w:rsidRPr="00A71972">
        <w:rPr>
          <w:sz w:val="20"/>
          <w:szCs w:val="20"/>
        </w:rPr>
        <w:t xml:space="preserve"> 2000; </w:t>
      </w:r>
      <w:proofErr w:type="spellStart"/>
      <w:r w:rsidRPr="00A71972">
        <w:rPr>
          <w:sz w:val="20"/>
          <w:szCs w:val="20"/>
        </w:rPr>
        <w:t>Yeh</w:t>
      </w:r>
      <w:proofErr w:type="spellEnd"/>
      <w:r w:rsidRPr="00A71972">
        <w:rPr>
          <w:sz w:val="20"/>
          <w:szCs w:val="20"/>
        </w:rPr>
        <w:t xml:space="preserve"> </w:t>
      </w:r>
      <w:r w:rsidRPr="00A71972">
        <w:rPr>
          <w:i/>
          <w:sz w:val="20"/>
          <w:szCs w:val="20"/>
        </w:rPr>
        <w:t xml:space="preserve">et al. </w:t>
      </w:r>
      <w:r w:rsidRPr="00A71972">
        <w:rPr>
          <w:sz w:val="20"/>
          <w:szCs w:val="20"/>
        </w:rPr>
        <w:t>200</w:t>
      </w:r>
      <w:r>
        <w:rPr>
          <w:sz w:val="20"/>
          <w:szCs w:val="20"/>
        </w:rPr>
        <w:t>1</w:t>
      </w:r>
      <w:r w:rsidRPr="00A71972">
        <w:rPr>
          <w:sz w:val="20"/>
          <w:szCs w:val="20"/>
        </w:rPr>
        <w:t>).</w:t>
      </w:r>
    </w:p>
  </w:footnote>
  <w:footnote w:id="4">
    <w:p w:rsidR="00AC7101" w:rsidRDefault="00AC7101">
      <w:pPr>
        <w:pStyle w:val="FootnoteText"/>
        <w:keepLines/>
        <w:widowControl/>
        <w:jc w:val="both"/>
      </w:pPr>
      <w:r w:rsidRPr="00A71972">
        <w:rPr>
          <w:rStyle w:val="FootnoteReference"/>
        </w:rPr>
        <w:footnoteRef/>
      </w:r>
      <w:r w:rsidRPr="00A71972">
        <w:t xml:space="preserve"> Additional efficiency benefits may be possible because family firms tend toward a structure where relationships – the use of social capital – make it less acceptable for the family to divert company resources into firm value-destroying activities (Anderson </w:t>
      </w:r>
      <w:r>
        <w:t>and</w:t>
      </w:r>
      <w:r w:rsidRPr="00A71972">
        <w:t xml:space="preserve"> </w:t>
      </w:r>
      <w:proofErr w:type="spellStart"/>
      <w:r w:rsidRPr="00A71972">
        <w:t>Reeb</w:t>
      </w:r>
      <w:proofErr w:type="spellEnd"/>
      <w:r w:rsidRPr="00A71972">
        <w:t xml:space="preserve"> 2003).</w:t>
      </w:r>
    </w:p>
  </w:footnote>
  <w:footnote w:id="5">
    <w:p w:rsidR="00AC7101" w:rsidRDefault="00AC7101" w:rsidP="00B931FB">
      <w:pPr>
        <w:pStyle w:val="FootnoteText"/>
      </w:pPr>
      <w:r>
        <w:rPr>
          <w:rStyle w:val="FootnoteReference"/>
        </w:rPr>
        <w:footnoteRef/>
      </w:r>
      <w:r>
        <w:t xml:space="preserve"> T</w:t>
      </w:r>
      <w:r w:rsidRPr="001272BC">
        <w:t xml:space="preserve">he overall R-square of the regressions in </w:t>
      </w:r>
      <w:proofErr w:type="spellStart"/>
      <w:r>
        <w:t>Larcker</w:t>
      </w:r>
      <w:proofErr w:type="spellEnd"/>
      <w:r>
        <w:t xml:space="preserve"> et al (2007) is 2 percent.</w:t>
      </w:r>
    </w:p>
  </w:footnote>
  <w:footnote w:id="6">
    <w:p w:rsidR="00AC7101" w:rsidRDefault="00AC7101" w:rsidP="00B931FB">
      <w:pPr>
        <w:pStyle w:val="FootnoteText"/>
      </w:pPr>
      <w:r>
        <w:rPr>
          <w:rStyle w:val="FootnoteReference"/>
        </w:rPr>
        <w:footnoteRef/>
      </w:r>
      <w:r>
        <w:t xml:space="preserve"> While not a focus of this study, Zahra (2005) also suggests t</w:t>
      </w:r>
      <w:r w:rsidRPr="001272BC">
        <w:t>he managers of these firms may be willing to take on greater short-term risk through new innovations in order to achieve long-ter</w:t>
      </w:r>
      <w:r>
        <w:t>m performance goals</w:t>
      </w:r>
      <w:r w:rsidRPr="001272BC">
        <w:t>.</w:t>
      </w:r>
    </w:p>
  </w:footnote>
  <w:footnote w:id="7">
    <w:p w:rsidR="00AC7101" w:rsidRDefault="00AC7101" w:rsidP="00A612AD">
      <w:pPr>
        <w:pStyle w:val="FootnoteText"/>
        <w:jc w:val="both"/>
      </w:pPr>
      <w:r w:rsidRPr="00567CDE">
        <w:rPr>
          <w:rStyle w:val="FootnoteReference"/>
        </w:rPr>
        <w:footnoteRef/>
      </w:r>
      <w:r w:rsidRPr="00567CDE">
        <w:t xml:space="preserve"> </w:t>
      </w:r>
      <w:r>
        <w:t>A</w:t>
      </w:r>
      <w:r w:rsidRPr="001272BC">
        <w:t xml:space="preserve"> duality governance structure</w:t>
      </w:r>
      <w:r>
        <w:t xml:space="preserve"> is common to both family and non-family firms within our sample</w:t>
      </w:r>
      <w:r w:rsidRPr="001272BC">
        <w:t>.</w:t>
      </w:r>
      <w:r>
        <w:t xml:space="preserve"> Nearly 54% of insurers in our sample have a duality governance structure with little variation between family and non-family firms.</w:t>
      </w:r>
    </w:p>
  </w:footnote>
  <w:footnote w:id="8">
    <w:p w:rsidR="00AC7101" w:rsidRDefault="00AC7101" w:rsidP="001C2DAB">
      <w:pPr>
        <w:pStyle w:val="FootnoteText"/>
        <w:jc w:val="both"/>
      </w:pPr>
      <w:r>
        <w:rPr>
          <w:rStyle w:val="FootnoteReference"/>
        </w:rPr>
        <w:footnoteRef/>
      </w:r>
      <w:r>
        <w:t xml:space="preserve"> In particular, compensation reporting requirements since 2006 are consistent across firms and specifically report salary, bonus, stock, option, and other forms of compensation for firm executives.</w:t>
      </w:r>
    </w:p>
  </w:footnote>
  <w:footnote w:id="9">
    <w:p w:rsidR="00AC7101" w:rsidRDefault="00AC7101" w:rsidP="00496B61">
      <w:pPr>
        <w:pStyle w:val="FootnoteText"/>
        <w:jc w:val="both"/>
      </w:pPr>
      <w:r w:rsidRPr="00567CDE">
        <w:rPr>
          <w:rStyle w:val="FootnoteReference"/>
        </w:rPr>
        <w:footnoteRef/>
      </w:r>
      <w:r w:rsidRPr="00567CDE">
        <w:t xml:space="preserve"> </w:t>
      </w:r>
      <w:r w:rsidRPr="00BA3EC0">
        <w:t xml:space="preserve">Klein </w:t>
      </w:r>
      <w:r w:rsidRPr="001E163F">
        <w:rPr>
          <w:i/>
        </w:rPr>
        <w:t>et al</w:t>
      </w:r>
      <w:r w:rsidRPr="00BA3EC0">
        <w:t>., note that “although Canada may be thought of as being similar to the United States in terms of its national governance structures, ownership concentration in Canada tends to be higher since individuals, families or private holding companies effectively control many of the largest firms … In this regard, ownership in Canada more closely approximates ownership structures in most countries around the world.”</w:t>
      </w:r>
    </w:p>
  </w:footnote>
  <w:footnote w:id="10">
    <w:p w:rsidR="00AC7101" w:rsidRPr="00A16618" w:rsidRDefault="00AC7101" w:rsidP="00825933">
      <w:pPr>
        <w:jc w:val="both"/>
        <w:rPr>
          <w:rFonts w:ascii="Times" w:hAnsi="Times"/>
          <w:sz w:val="20"/>
          <w:szCs w:val="20"/>
        </w:rPr>
      </w:pPr>
      <w:r>
        <w:rPr>
          <w:rStyle w:val="FootnoteReference"/>
        </w:rPr>
        <w:footnoteRef/>
      </w:r>
      <w:r w:rsidRPr="00A16618">
        <w:rPr>
          <w:sz w:val="20"/>
          <w:szCs w:val="20"/>
        </w:rPr>
        <w:t xml:space="preserve"> </w:t>
      </w:r>
      <w:r>
        <w:rPr>
          <w:sz w:val="20"/>
          <w:szCs w:val="20"/>
        </w:rPr>
        <w:t xml:space="preserve">Easley </w:t>
      </w:r>
      <w:r>
        <w:rPr>
          <w:i/>
          <w:sz w:val="20"/>
          <w:szCs w:val="20"/>
        </w:rPr>
        <w:t xml:space="preserve">et al. </w:t>
      </w:r>
      <w:r>
        <w:rPr>
          <w:sz w:val="20"/>
          <w:szCs w:val="20"/>
        </w:rPr>
        <w:t>(1996) note that “</w:t>
      </w:r>
      <w:r>
        <w:rPr>
          <w:rFonts w:ascii="Times" w:hAnsi="Times"/>
          <w:sz w:val="20"/>
          <w:szCs w:val="20"/>
        </w:rPr>
        <w:t>o</w:t>
      </w:r>
      <w:r w:rsidRPr="00A16618">
        <w:rPr>
          <w:rFonts w:ascii="Times" w:hAnsi="Times"/>
          <w:sz w:val="20"/>
          <w:szCs w:val="20"/>
        </w:rPr>
        <w:t>n the New York Stock Exchange, it is common for individual stocks not to trade for days or even weeks at a time</w:t>
      </w:r>
      <w:r>
        <w:rPr>
          <w:rFonts w:ascii="Times" w:hAnsi="Times"/>
          <w:sz w:val="20"/>
          <w:szCs w:val="20"/>
        </w:rPr>
        <w:t>...” Seth (2015) provides an operational definition of low volume trading:</w:t>
      </w:r>
      <w:r w:rsidRPr="00A16618">
        <w:rPr>
          <w:sz w:val="20"/>
          <w:szCs w:val="20"/>
        </w:rPr>
        <w:t xml:space="preserve"> “In general, any stock that trades at fewer than 10,000 shares a day is considered a low-volume stock.”</w:t>
      </w:r>
      <w:r>
        <w:rPr>
          <w:sz w:val="20"/>
          <w:szCs w:val="20"/>
        </w:rPr>
        <w:t xml:space="preserve"> [Seth, </w:t>
      </w:r>
      <w:proofErr w:type="spellStart"/>
      <w:r>
        <w:rPr>
          <w:sz w:val="20"/>
          <w:szCs w:val="20"/>
        </w:rPr>
        <w:t>Shobhit</w:t>
      </w:r>
      <w:proofErr w:type="spellEnd"/>
      <w:r>
        <w:rPr>
          <w:sz w:val="20"/>
          <w:szCs w:val="20"/>
        </w:rPr>
        <w:t xml:space="preserve"> (May 14, 2015) “The Risks of Trading Low-Volume Stocks” </w:t>
      </w:r>
      <w:proofErr w:type="spellStart"/>
      <w:r>
        <w:rPr>
          <w:sz w:val="20"/>
          <w:szCs w:val="20"/>
        </w:rPr>
        <w:t>Investopedia</w:t>
      </w:r>
      <w:proofErr w:type="spellEnd"/>
      <w:r>
        <w:rPr>
          <w:sz w:val="20"/>
          <w:szCs w:val="20"/>
        </w:rPr>
        <w:t>; viewed March 10, 2016</w:t>
      </w:r>
      <w:r>
        <w:rPr>
          <w:rFonts w:ascii="Times" w:hAnsi="Times"/>
          <w:sz w:val="20"/>
          <w:szCs w:val="20"/>
        </w:rPr>
        <w:t xml:space="preserve"> ... www.investopedia.com/articles/active-traading/051414/risks-trading-lowvolume-stocks.asp</w:t>
      </w:r>
      <w:r>
        <w:rPr>
          <w:sz w:val="20"/>
          <w:szCs w:val="20"/>
        </w:rPr>
        <w:t>.</w:t>
      </w:r>
    </w:p>
  </w:footnote>
  <w:footnote w:id="11">
    <w:p w:rsidR="00AC7101" w:rsidRPr="00FF45A3" w:rsidRDefault="00AC7101" w:rsidP="00D670C3">
      <w:pPr>
        <w:pStyle w:val="Footnotes"/>
        <w:jc w:val="both"/>
        <w:rPr>
          <w:sz w:val="21"/>
        </w:rPr>
      </w:pPr>
      <w:r>
        <w:rPr>
          <w:rStyle w:val="FootnoteReference"/>
        </w:rPr>
        <w:footnoteRef/>
      </w:r>
      <w:r>
        <w:t xml:space="preserve"> A significant percent of insurance industry premiums is obtained by mutual corporations, which are not in the sample because they are not publicly traded.</w:t>
      </w:r>
    </w:p>
  </w:footnote>
  <w:footnote w:id="12">
    <w:p w:rsidR="00AC7101" w:rsidRDefault="00AC7101" w:rsidP="00FE7ECB">
      <w:pPr>
        <w:pStyle w:val="FootnoteText"/>
      </w:pPr>
      <w:r>
        <w:rPr>
          <w:rStyle w:val="FootnoteReference"/>
        </w:rPr>
        <w:footnoteRef/>
      </w:r>
      <w:r>
        <w:t xml:space="preserve"> Average ROE in 2008 was -0.01%, it was 14.87 in 2007.</w:t>
      </w:r>
    </w:p>
  </w:footnote>
  <w:footnote w:id="13">
    <w:p w:rsidR="00AC7101" w:rsidRDefault="00AC7101" w:rsidP="00FE7ECB">
      <w:pPr>
        <w:pStyle w:val="FootnoteText"/>
      </w:pPr>
      <w:r>
        <w:rPr>
          <w:rStyle w:val="FootnoteReference"/>
        </w:rPr>
        <w:footnoteRef/>
      </w:r>
      <w:r>
        <w:t xml:space="preserve"> </w:t>
      </w:r>
      <w:r w:rsidRPr="001272BC">
        <w:t>For example, it is well accepted that Hank Greenberg controlled AIG for many years but he owned only 3 percent of AIG stock</w:t>
      </w:r>
      <w:r>
        <w:t xml:space="preserve"> (He also controlled a voting </w:t>
      </w:r>
      <w:proofErr w:type="spellStart"/>
      <w:r>
        <w:t>block</w:t>
      </w:r>
      <w:proofErr w:type="spellEnd"/>
      <w:r>
        <w:t xml:space="preserve"> through his position as head of the CV Starr Foundation)</w:t>
      </w:r>
      <w:r w:rsidRPr="001272BC">
        <w:t>.</w:t>
      </w:r>
    </w:p>
  </w:footnote>
  <w:footnote w:id="14">
    <w:p w:rsidR="00AC7101" w:rsidRPr="00BA3EC0" w:rsidRDefault="00AC7101" w:rsidP="00FE7ECB">
      <w:pPr>
        <w:tabs>
          <w:tab w:val="left" w:pos="242"/>
        </w:tabs>
        <w:jc w:val="both"/>
        <w:rPr>
          <w:sz w:val="20"/>
          <w:szCs w:val="20"/>
        </w:rPr>
      </w:pPr>
      <w:r w:rsidRPr="00567CDE">
        <w:rPr>
          <w:rStyle w:val="FootnoteReference"/>
          <w:sz w:val="20"/>
          <w:szCs w:val="20"/>
        </w:rPr>
        <w:footnoteRef/>
      </w:r>
      <w:r w:rsidRPr="00567CDE">
        <w:rPr>
          <w:rFonts w:eastAsia="Times New Roman"/>
          <w:spacing w:val="-2"/>
          <w:sz w:val="20"/>
          <w:szCs w:val="20"/>
        </w:rPr>
        <w:t xml:space="preserve"> </w:t>
      </w:r>
      <w:proofErr w:type="spellStart"/>
      <w:r w:rsidRPr="00BA3EC0">
        <w:rPr>
          <w:rFonts w:eastAsia="Times New Roman"/>
          <w:sz w:val="20"/>
          <w:szCs w:val="20"/>
        </w:rPr>
        <w:t>Cl</w:t>
      </w:r>
      <w:r w:rsidRPr="00BA3EC0">
        <w:rPr>
          <w:rFonts w:eastAsia="Times New Roman"/>
          <w:spacing w:val="-1"/>
          <w:sz w:val="20"/>
          <w:szCs w:val="20"/>
        </w:rPr>
        <w:t>aes</w:t>
      </w:r>
      <w:r w:rsidRPr="00BA3EC0">
        <w:rPr>
          <w:rFonts w:eastAsia="Times New Roman"/>
          <w:spacing w:val="1"/>
          <w:sz w:val="20"/>
          <w:szCs w:val="20"/>
        </w:rPr>
        <w:t>sen</w:t>
      </w:r>
      <w:r w:rsidRPr="00BA3EC0">
        <w:rPr>
          <w:rFonts w:eastAsia="Times New Roman"/>
          <w:sz w:val="20"/>
          <w:szCs w:val="20"/>
        </w:rPr>
        <w:t>s</w:t>
      </w:r>
      <w:proofErr w:type="spellEnd"/>
      <w:r w:rsidRPr="00BA3EC0">
        <w:rPr>
          <w:rFonts w:eastAsia="Times New Roman"/>
          <w:spacing w:val="17"/>
          <w:sz w:val="20"/>
          <w:szCs w:val="20"/>
        </w:rPr>
        <w:t xml:space="preserve"> </w:t>
      </w:r>
      <w:r w:rsidRPr="00BA3EC0">
        <w:rPr>
          <w:rFonts w:eastAsia="Times New Roman"/>
          <w:i/>
          <w:spacing w:val="-1"/>
          <w:sz w:val="20"/>
          <w:szCs w:val="20"/>
        </w:rPr>
        <w:t>e</w:t>
      </w:r>
      <w:r w:rsidRPr="00BA3EC0">
        <w:rPr>
          <w:rFonts w:eastAsia="Times New Roman"/>
          <w:i/>
          <w:sz w:val="20"/>
          <w:szCs w:val="20"/>
        </w:rPr>
        <w:t>t</w:t>
      </w:r>
      <w:r w:rsidRPr="00BA3EC0">
        <w:rPr>
          <w:rFonts w:eastAsia="Times New Roman"/>
          <w:i/>
          <w:spacing w:val="17"/>
          <w:sz w:val="20"/>
          <w:szCs w:val="20"/>
        </w:rPr>
        <w:t xml:space="preserve"> </w:t>
      </w:r>
      <w:r w:rsidRPr="00BA3EC0">
        <w:rPr>
          <w:rFonts w:eastAsia="Times New Roman"/>
          <w:i/>
          <w:spacing w:val="1"/>
          <w:sz w:val="20"/>
          <w:szCs w:val="20"/>
        </w:rPr>
        <w:t>a</w:t>
      </w:r>
      <w:r w:rsidRPr="00BA3EC0">
        <w:rPr>
          <w:rFonts w:eastAsia="Times New Roman"/>
          <w:i/>
          <w:spacing w:val="-1"/>
          <w:sz w:val="20"/>
          <w:szCs w:val="20"/>
        </w:rPr>
        <w:t>l</w:t>
      </w:r>
      <w:r w:rsidRPr="00BA3EC0">
        <w:rPr>
          <w:rFonts w:eastAsia="Times New Roman"/>
          <w:sz w:val="20"/>
          <w:szCs w:val="20"/>
        </w:rPr>
        <w:t>.</w:t>
      </w:r>
      <w:r w:rsidRPr="00BA3EC0">
        <w:rPr>
          <w:rFonts w:eastAsia="Times New Roman"/>
          <w:spacing w:val="18"/>
          <w:sz w:val="20"/>
          <w:szCs w:val="20"/>
        </w:rPr>
        <w:t xml:space="preserve"> </w:t>
      </w:r>
      <w:r w:rsidRPr="00BA3EC0">
        <w:rPr>
          <w:rFonts w:eastAsia="Times New Roman"/>
          <w:sz w:val="20"/>
          <w:szCs w:val="20"/>
        </w:rPr>
        <w:t>(</w:t>
      </w:r>
      <w:r w:rsidRPr="00BA3EC0">
        <w:rPr>
          <w:rFonts w:eastAsia="Times New Roman"/>
          <w:spacing w:val="-2"/>
          <w:sz w:val="20"/>
          <w:szCs w:val="20"/>
        </w:rPr>
        <w:t>2</w:t>
      </w:r>
      <w:r w:rsidRPr="00BA3EC0">
        <w:rPr>
          <w:rFonts w:eastAsia="Times New Roman"/>
          <w:spacing w:val="1"/>
          <w:sz w:val="20"/>
          <w:szCs w:val="20"/>
        </w:rPr>
        <w:t>0</w:t>
      </w:r>
      <w:r w:rsidRPr="00BA3EC0">
        <w:rPr>
          <w:rFonts w:eastAsia="Times New Roman"/>
          <w:spacing w:val="-2"/>
          <w:sz w:val="20"/>
          <w:szCs w:val="20"/>
        </w:rPr>
        <w:t>0</w:t>
      </w:r>
      <w:r w:rsidRPr="00BA3EC0">
        <w:rPr>
          <w:rFonts w:eastAsia="Times New Roman"/>
          <w:spacing w:val="1"/>
          <w:sz w:val="20"/>
          <w:szCs w:val="20"/>
        </w:rPr>
        <w:t>0</w:t>
      </w:r>
      <w:r w:rsidRPr="00BA3EC0">
        <w:rPr>
          <w:rFonts w:eastAsia="Times New Roman"/>
          <w:sz w:val="20"/>
          <w:szCs w:val="20"/>
        </w:rPr>
        <w:t>)</w:t>
      </w:r>
      <w:r w:rsidRPr="00BA3EC0">
        <w:rPr>
          <w:rFonts w:eastAsia="Times New Roman"/>
          <w:spacing w:val="17"/>
          <w:sz w:val="20"/>
          <w:szCs w:val="20"/>
        </w:rPr>
        <w:t xml:space="preserve"> </w:t>
      </w:r>
      <w:r w:rsidRPr="00BA3EC0">
        <w:rPr>
          <w:rFonts w:eastAsia="Times New Roman"/>
          <w:spacing w:val="1"/>
          <w:sz w:val="20"/>
          <w:szCs w:val="20"/>
        </w:rPr>
        <w:t>d</w:t>
      </w:r>
      <w:r w:rsidRPr="00BA3EC0">
        <w:rPr>
          <w:rFonts w:eastAsia="Times New Roman"/>
          <w:spacing w:val="-1"/>
          <w:sz w:val="20"/>
          <w:szCs w:val="20"/>
        </w:rPr>
        <w:t>esc</w:t>
      </w:r>
      <w:r w:rsidRPr="00BA3EC0">
        <w:rPr>
          <w:rFonts w:eastAsia="Times New Roman"/>
          <w:sz w:val="20"/>
          <w:szCs w:val="20"/>
        </w:rPr>
        <w:t>ri</w:t>
      </w:r>
      <w:r w:rsidRPr="00BA3EC0">
        <w:rPr>
          <w:rFonts w:eastAsia="Times New Roman"/>
          <w:spacing w:val="1"/>
          <w:sz w:val="20"/>
          <w:szCs w:val="20"/>
        </w:rPr>
        <w:t>b</w:t>
      </w:r>
      <w:r w:rsidRPr="00BA3EC0">
        <w:rPr>
          <w:rFonts w:eastAsia="Times New Roman"/>
          <w:sz w:val="20"/>
          <w:szCs w:val="20"/>
        </w:rPr>
        <w:t>e</w:t>
      </w:r>
      <w:r w:rsidRPr="00BA3EC0">
        <w:rPr>
          <w:rFonts w:eastAsia="Times New Roman"/>
          <w:spacing w:val="16"/>
          <w:sz w:val="20"/>
          <w:szCs w:val="20"/>
        </w:rPr>
        <w:t xml:space="preserve"> </w:t>
      </w:r>
      <w:r w:rsidRPr="00BA3EC0">
        <w:rPr>
          <w:rFonts w:eastAsia="Times New Roman"/>
          <w:spacing w:val="1"/>
          <w:sz w:val="20"/>
          <w:szCs w:val="20"/>
        </w:rPr>
        <w:t>o</w:t>
      </w:r>
      <w:r w:rsidRPr="00BA3EC0">
        <w:rPr>
          <w:rFonts w:eastAsia="Times New Roman"/>
          <w:spacing w:val="-2"/>
          <w:sz w:val="20"/>
          <w:szCs w:val="20"/>
        </w:rPr>
        <w:t>t</w:t>
      </w:r>
      <w:r w:rsidRPr="00BA3EC0">
        <w:rPr>
          <w:rFonts w:eastAsia="Times New Roman"/>
          <w:spacing w:val="1"/>
          <w:sz w:val="20"/>
          <w:szCs w:val="20"/>
        </w:rPr>
        <w:t>h</w:t>
      </w:r>
      <w:r w:rsidRPr="00BA3EC0">
        <w:rPr>
          <w:rFonts w:eastAsia="Times New Roman"/>
          <w:spacing w:val="-1"/>
          <w:sz w:val="20"/>
          <w:szCs w:val="20"/>
        </w:rPr>
        <w:t>e</w:t>
      </w:r>
      <w:r w:rsidRPr="00BA3EC0">
        <w:rPr>
          <w:rFonts w:eastAsia="Times New Roman"/>
          <w:sz w:val="20"/>
          <w:szCs w:val="20"/>
        </w:rPr>
        <w:t>r</w:t>
      </w:r>
      <w:r w:rsidRPr="00BA3EC0">
        <w:rPr>
          <w:rFonts w:eastAsia="Times New Roman"/>
          <w:spacing w:val="17"/>
          <w:sz w:val="20"/>
          <w:szCs w:val="20"/>
        </w:rPr>
        <w:t xml:space="preserve"> </w:t>
      </w:r>
      <w:r w:rsidRPr="00BA3EC0">
        <w:rPr>
          <w:rFonts w:eastAsia="Times New Roman"/>
          <w:spacing w:val="-1"/>
          <w:sz w:val="20"/>
          <w:szCs w:val="20"/>
        </w:rPr>
        <w:t>me</w:t>
      </w:r>
      <w:r w:rsidRPr="00BA3EC0">
        <w:rPr>
          <w:rFonts w:eastAsia="Times New Roman"/>
          <w:sz w:val="20"/>
          <w:szCs w:val="20"/>
        </w:rPr>
        <w:t>t</w:t>
      </w:r>
      <w:r w:rsidRPr="00BA3EC0">
        <w:rPr>
          <w:rFonts w:eastAsia="Times New Roman"/>
          <w:spacing w:val="1"/>
          <w:sz w:val="20"/>
          <w:szCs w:val="20"/>
        </w:rPr>
        <w:t>hod</w:t>
      </w:r>
      <w:r w:rsidRPr="00BA3EC0">
        <w:rPr>
          <w:rFonts w:eastAsia="Times New Roman"/>
          <w:sz w:val="20"/>
          <w:szCs w:val="20"/>
        </w:rPr>
        <w:t>s</w:t>
      </w:r>
      <w:r w:rsidRPr="00BA3EC0">
        <w:rPr>
          <w:rFonts w:eastAsia="Times New Roman"/>
          <w:spacing w:val="14"/>
          <w:sz w:val="20"/>
          <w:szCs w:val="20"/>
        </w:rPr>
        <w:t xml:space="preserve"> </w:t>
      </w:r>
      <w:r w:rsidRPr="00BA3EC0">
        <w:rPr>
          <w:rFonts w:eastAsia="Times New Roman"/>
          <w:spacing w:val="1"/>
          <w:sz w:val="20"/>
          <w:szCs w:val="20"/>
        </w:rPr>
        <w:t>o</w:t>
      </w:r>
      <w:r w:rsidRPr="00BA3EC0">
        <w:rPr>
          <w:rFonts w:eastAsia="Times New Roman"/>
          <w:sz w:val="20"/>
          <w:szCs w:val="20"/>
        </w:rPr>
        <w:t>f</w:t>
      </w:r>
      <w:r w:rsidRPr="00BA3EC0">
        <w:rPr>
          <w:rFonts w:eastAsia="Times New Roman"/>
          <w:spacing w:val="15"/>
          <w:sz w:val="20"/>
          <w:szCs w:val="20"/>
        </w:rPr>
        <w:t xml:space="preserve"> </w:t>
      </w:r>
      <w:r w:rsidRPr="00BA3EC0">
        <w:rPr>
          <w:rFonts w:eastAsia="Times New Roman"/>
          <w:spacing w:val="-1"/>
          <w:sz w:val="20"/>
          <w:szCs w:val="20"/>
        </w:rPr>
        <w:t>a</w:t>
      </w:r>
      <w:r w:rsidRPr="00BA3EC0">
        <w:rPr>
          <w:rFonts w:eastAsia="Times New Roman"/>
          <w:sz w:val="20"/>
          <w:szCs w:val="20"/>
        </w:rPr>
        <w:t>tt</w:t>
      </w:r>
      <w:r w:rsidRPr="00BA3EC0">
        <w:rPr>
          <w:rFonts w:eastAsia="Times New Roman"/>
          <w:spacing w:val="-1"/>
          <w:sz w:val="20"/>
          <w:szCs w:val="20"/>
        </w:rPr>
        <w:t>a</w:t>
      </w:r>
      <w:r w:rsidRPr="00BA3EC0">
        <w:rPr>
          <w:rFonts w:eastAsia="Times New Roman"/>
          <w:sz w:val="20"/>
          <w:szCs w:val="20"/>
        </w:rPr>
        <w:t>i</w:t>
      </w:r>
      <w:r w:rsidRPr="00BA3EC0">
        <w:rPr>
          <w:rFonts w:eastAsia="Times New Roman"/>
          <w:spacing w:val="1"/>
          <w:sz w:val="20"/>
          <w:szCs w:val="20"/>
        </w:rPr>
        <w:t>n</w:t>
      </w:r>
      <w:r w:rsidRPr="00BA3EC0">
        <w:rPr>
          <w:rFonts w:eastAsia="Times New Roman"/>
          <w:sz w:val="20"/>
          <w:szCs w:val="20"/>
        </w:rPr>
        <w:t>i</w:t>
      </w:r>
      <w:r w:rsidRPr="00BA3EC0">
        <w:rPr>
          <w:rFonts w:eastAsia="Times New Roman"/>
          <w:spacing w:val="1"/>
          <w:sz w:val="20"/>
          <w:szCs w:val="20"/>
        </w:rPr>
        <w:t>n</w:t>
      </w:r>
      <w:r w:rsidRPr="00BA3EC0">
        <w:rPr>
          <w:rFonts w:eastAsia="Times New Roman"/>
          <w:sz w:val="20"/>
          <w:szCs w:val="20"/>
        </w:rPr>
        <w:t>g</w:t>
      </w:r>
      <w:r w:rsidRPr="00BA3EC0">
        <w:rPr>
          <w:rFonts w:eastAsia="Times New Roman"/>
          <w:spacing w:val="16"/>
          <w:sz w:val="20"/>
          <w:szCs w:val="20"/>
        </w:rPr>
        <w:t xml:space="preserve"> </w:t>
      </w:r>
      <w:r w:rsidRPr="00BA3EC0">
        <w:rPr>
          <w:rFonts w:eastAsia="Times New Roman"/>
          <w:spacing w:val="-1"/>
          <w:sz w:val="20"/>
          <w:szCs w:val="20"/>
        </w:rPr>
        <w:t>s</w:t>
      </w:r>
      <w:r w:rsidRPr="00BA3EC0">
        <w:rPr>
          <w:rFonts w:eastAsia="Times New Roman"/>
          <w:sz w:val="20"/>
          <w:szCs w:val="20"/>
        </w:rPr>
        <w:t>tr</w:t>
      </w:r>
      <w:r w:rsidRPr="00BA3EC0">
        <w:rPr>
          <w:rFonts w:eastAsia="Times New Roman"/>
          <w:spacing w:val="-1"/>
          <w:sz w:val="20"/>
          <w:szCs w:val="20"/>
        </w:rPr>
        <w:t>a</w:t>
      </w:r>
      <w:r w:rsidRPr="00BA3EC0">
        <w:rPr>
          <w:rFonts w:eastAsia="Times New Roman"/>
          <w:sz w:val="20"/>
          <w:szCs w:val="20"/>
        </w:rPr>
        <w:t>t</w:t>
      </w:r>
      <w:r w:rsidRPr="00BA3EC0">
        <w:rPr>
          <w:rFonts w:eastAsia="Times New Roman"/>
          <w:spacing w:val="-1"/>
          <w:sz w:val="20"/>
          <w:szCs w:val="20"/>
        </w:rPr>
        <w:t>e</w:t>
      </w:r>
      <w:r w:rsidRPr="00BA3EC0">
        <w:rPr>
          <w:rFonts w:eastAsia="Times New Roman"/>
          <w:spacing w:val="-2"/>
          <w:sz w:val="20"/>
          <w:szCs w:val="20"/>
        </w:rPr>
        <w:t>g</w:t>
      </w:r>
      <w:r w:rsidRPr="00BA3EC0">
        <w:rPr>
          <w:rFonts w:eastAsia="Times New Roman"/>
          <w:sz w:val="20"/>
          <w:szCs w:val="20"/>
        </w:rPr>
        <w:t xml:space="preserve">ic </w:t>
      </w:r>
      <w:r w:rsidRPr="00BA3EC0">
        <w:rPr>
          <w:rFonts w:eastAsia="Times New Roman"/>
          <w:spacing w:val="-1"/>
          <w:sz w:val="20"/>
          <w:szCs w:val="20"/>
        </w:rPr>
        <w:t>c</w:t>
      </w:r>
      <w:r w:rsidRPr="00BA3EC0">
        <w:rPr>
          <w:rFonts w:eastAsia="Times New Roman"/>
          <w:spacing w:val="1"/>
          <w:sz w:val="20"/>
          <w:szCs w:val="20"/>
        </w:rPr>
        <w:t>on</w:t>
      </w:r>
      <w:r w:rsidRPr="00BA3EC0">
        <w:rPr>
          <w:rFonts w:eastAsia="Times New Roman"/>
          <w:sz w:val="20"/>
          <w:szCs w:val="20"/>
        </w:rPr>
        <w:t>tr</w:t>
      </w:r>
      <w:r w:rsidRPr="00BA3EC0">
        <w:rPr>
          <w:rFonts w:eastAsia="Times New Roman"/>
          <w:spacing w:val="-2"/>
          <w:sz w:val="20"/>
          <w:szCs w:val="20"/>
        </w:rPr>
        <w:t>o</w:t>
      </w:r>
      <w:r w:rsidRPr="00BA3EC0">
        <w:rPr>
          <w:rFonts w:eastAsia="Times New Roman"/>
          <w:sz w:val="20"/>
          <w:szCs w:val="20"/>
        </w:rPr>
        <w:t>l</w:t>
      </w:r>
      <w:r w:rsidRPr="00BA3EC0">
        <w:rPr>
          <w:rFonts w:eastAsia="Times New Roman"/>
          <w:spacing w:val="12"/>
          <w:sz w:val="20"/>
          <w:szCs w:val="20"/>
        </w:rPr>
        <w:t xml:space="preserve"> </w:t>
      </w:r>
      <w:r w:rsidRPr="00BA3EC0">
        <w:rPr>
          <w:rFonts w:eastAsia="Times New Roman"/>
          <w:spacing w:val="-3"/>
          <w:sz w:val="20"/>
          <w:szCs w:val="20"/>
        </w:rPr>
        <w:t>w</w:t>
      </w:r>
      <w:r w:rsidRPr="00BA3EC0">
        <w:rPr>
          <w:rFonts w:eastAsia="Times New Roman"/>
          <w:sz w:val="20"/>
          <w:szCs w:val="20"/>
        </w:rPr>
        <w:t>ith</w:t>
      </w:r>
      <w:r w:rsidRPr="00BA3EC0">
        <w:rPr>
          <w:rFonts w:eastAsia="Times New Roman"/>
          <w:spacing w:val="13"/>
          <w:sz w:val="20"/>
          <w:szCs w:val="20"/>
        </w:rPr>
        <w:t xml:space="preserve"> </w:t>
      </w:r>
      <w:r w:rsidRPr="00BA3EC0">
        <w:rPr>
          <w:rFonts w:eastAsia="Times New Roman"/>
          <w:sz w:val="20"/>
          <w:szCs w:val="20"/>
        </w:rPr>
        <w:t>l</w:t>
      </w:r>
      <w:r w:rsidRPr="00BA3EC0">
        <w:rPr>
          <w:rFonts w:eastAsia="Times New Roman"/>
          <w:spacing w:val="1"/>
          <w:sz w:val="20"/>
          <w:szCs w:val="20"/>
        </w:rPr>
        <w:t>o</w:t>
      </w:r>
      <w:r w:rsidRPr="00BA3EC0">
        <w:rPr>
          <w:rFonts w:eastAsia="Times New Roman"/>
          <w:spacing w:val="-3"/>
          <w:sz w:val="20"/>
          <w:szCs w:val="20"/>
        </w:rPr>
        <w:t>w</w:t>
      </w:r>
      <w:r w:rsidRPr="00BA3EC0">
        <w:rPr>
          <w:rFonts w:eastAsia="Times New Roman"/>
          <w:sz w:val="20"/>
          <w:szCs w:val="20"/>
        </w:rPr>
        <w:t>-</w:t>
      </w:r>
      <w:r w:rsidRPr="00BA3EC0">
        <w:rPr>
          <w:rFonts w:eastAsia="Times New Roman"/>
          <w:spacing w:val="1"/>
          <w:sz w:val="20"/>
          <w:szCs w:val="20"/>
        </w:rPr>
        <w:t>o</w:t>
      </w:r>
      <w:r w:rsidRPr="00BA3EC0">
        <w:rPr>
          <w:rFonts w:eastAsia="Times New Roman"/>
          <w:spacing w:val="-3"/>
          <w:sz w:val="20"/>
          <w:szCs w:val="20"/>
        </w:rPr>
        <w:t>w</w:t>
      </w:r>
      <w:r w:rsidRPr="00BA3EC0">
        <w:rPr>
          <w:rFonts w:eastAsia="Times New Roman"/>
          <w:spacing w:val="1"/>
          <w:sz w:val="20"/>
          <w:szCs w:val="20"/>
        </w:rPr>
        <w:t>n</w:t>
      </w:r>
      <w:r w:rsidRPr="00BA3EC0">
        <w:rPr>
          <w:rFonts w:eastAsia="Times New Roman"/>
          <w:spacing w:val="-1"/>
          <w:sz w:val="20"/>
          <w:szCs w:val="20"/>
        </w:rPr>
        <w:t>e</w:t>
      </w:r>
      <w:r w:rsidRPr="00BA3EC0">
        <w:rPr>
          <w:rFonts w:eastAsia="Times New Roman"/>
          <w:sz w:val="20"/>
          <w:szCs w:val="20"/>
        </w:rPr>
        <w:t>r</w:t>
      </w:r>
      <w:r w:rsidRPr="00BA3EC0">
        <w:rPr>
          <w:rFonts w:eastAsia="Times New Roman"/>
          <w:spacing w:val="-1"/>
          <w:sz w:val="20"/>
          <w:szCs w:val="20"/>
        </w:rPr>
        <w:t>s</w:t>
      </w:r>
      <w:r w:rsidRPr="00BA3EC0">
        <w:rPr>
          <w:rFonts w:eastAsia="Times New Roman"/>
          <w:spacing w:val="1"/>
          <w:sz w:val="20"/>
          <w:szCs w:val="20"/>
        </w:rPr>
        <w:t>h</w:t>
      </w:r>
      <w:r w:rsidRPr="00BA3EC0">
        <w:rPr>
          <w:rFonts w:eastAsia="Times New Roman"/>
          <w:sz w:val="20"/>
          <w:szCs w:val="20"/>
        </w:rPr>
        <w:t>i</w:t>
      </w:r>
      <w:r w:rsidRPr="00BA3EC0">
        <w:rPr>
          <w:rFonts w:eastAsia="Times New Roman"/>
          <w:spacing w:val="1"/>
          <w:sz w:val="20"/>
          <w:szCs w:val="20"/>
        </w:rPr>
        <w:t>p</w:t>
      </w:r>
      <w:r w:rsidRPr="00BA3EC0">
        <w:rPr>
          <w:rFonts w:eastAsia="Times New Roman"/>
          <w:sz w:val="20"/>
          <w:szCs w:val="20"/>
        </w:rPr>
        <w:t>,</w:t>
      </w:r>
      <w:r w:rsidRPr="00BA3EC0">
        <w:rPr>
          <w:rFonts w:eastAsia="Times New Roman"/>
          <w:spacing w:val="13"/>
          <w:sz w:val="20"/>
          <w:szCs w:val="20"/>
        </w:rPr>
        <w:t xml:space="preserve"> </w:t>
      </w:r>
      <w:r w:rsidRPr="00BA3EC0">
        <w:rPr>
          <w:rFonts w:eastAsia="Times New Roman"/>
          <w:spacing w:val="-1"/>
          <w:sz w:val="20"/>
          <w:szCs w:val="20"/>
        </w:rPr>
        <w:t>s</w:t>
      </w:r>
      <w:r w:rsidRPr="00BA3EC0">
        <w:rPr>
          <w:rFonts w:eastAsia="Times New Roman"/>
          <w:spacing w:val="1"/>
          <w:sz w:val="20"/>
          <w:szCs w:val="20"/>
        </w:rPr>
        <w:t>u</w:t>
      </w:r>
      <w:r w:rsidRPr="00BA3EC0">
        <w:rPr>
          <w:rFonts w:eastAsia="Times New Roman"/>
          <w:spacing w:val="-1"/>
          <w:sz w:val="20"/>
          <w:szCs w:val="20"/>
        </w:rPr>
        <w:t>c</w:t>
      </w:r>
      <w:r w:rsidRPr="00BA3EC0">
        <w:rPr>
          <w:rFonts w:eastAsia="Times New Roman"/>
          <w:sz w:val="20"/>
          <w:szCs w:val="20"/>
        </w:rPr>
        <w:t>h</w:t>
      </w:r>
      <w:r w:rsidRPr="00BA3EC0">
        <w:rPr>
          <w:rFonts w:eastAsia="Times New Roman"/>
          <w:spacing w:val="13"/>
          <w:sz w:val="20"/>
          <w:szCs w:val="20"/>
        </w:rPr>
        <w:t xml:space="preserve"> </w:t>
      </w:r>
      <w:r w:rsidRPr="00BA3EC0">
        <w:rPr>
          <w:rFonts w:eastAsia="Times New Roman"/>
          <w:spacing w:val="-1"/>
          <w:sz w:val="20"/>
          <w:szCs w:val="20"/>
        </w:rPr>
        <w:t>a</w:t>
      </w:r>
      <w:r w:rsidRPr="00BA3EC0">
        <w:rPr>
          <w:rFonts w:eastAsia="Times New Roman"/>
          <w:sz w:val="20"/>
          <w:szCs w:val="20"/>
        </w:rPr>
        <w:t>s</w:t>
      </w:r>
      <w:r w:rsidRPr="00BA3EC0">
        <w:rPr>
          <w:rFonts w:eastAsia="Times New Roman"/>
          <w:spacing w:val="12"/>
          <w:sz w:val="20"/>
          <w:szCs w:val="20"/>
        </w:rPr>
        <w:t xml:space="preserve"> </w:t>
      </w:r>
      <w:r w:rsidRPr="00BA3EC0">
        <w:rPr>
          <w:rFonts w:eastAsia="Times New Roman"/>
          <w:sz w:val="20"/>
          <w:szCs w:val="20"/>
        </w:rPr>
        <w:t>t</w:t>
      </w:r>
      <w:r w:rsidRPr="00BA3EC0">
        <w:rPr>
          <w:rFonts w:eastAsia="Times New Roman"/>
          <w:spacing w:val="1"/>
          <w:sz w:val="20"/>
          <w:szCs w:val="20"/>
        </w:rPr>
        <w:t>h</w:t>
      </w:r>
      <w:r w:rsidRPr="00BA3EC0">
        <w:rPr>
          <w:rFonts w:eastAsia="Times New Roman"/>
          <w:sz w:val="20"/>
          <w:szCs w:val="20"/>
        </w:rPr>
        <w:t>e</w:t>
      </w:r>
      <w:r w:rsidRPr="00BA3EC0">
        <w:rPr>
          <w:rFonts w:eastAsia="Times New Roman"/>
          <w:spacing w:val="11"/>
          <w:sz w:val="20"/>
          <w:szCs w:val="20"/>
        </w:rPr>
        <w:t xml:space="preserve"> </w:t>
      </w:r>
      <w:r w:rsidRPr="00BA3EC0">
        <w:rPr>
          <w:rFonts w:eastAsia="Times New Roman"/>
          <w:spacing w:val="-1"/>
          <w:sz w:val="20"/>
          <w:szCs w:val="20"/>
        </w:rPr>
        <w:t>es</w:t>
      </w:r>
      <w:r w:rsidRPr="00BA3EC0">
        <w:rPr>
          <w:rFonts w:eastAsia="Times New Roman"/>
          <w:sz w:val="20"/>
          <w:szCs w:val="20"/>
        </w:rPr>
        <w:t>t</w:t>
      </w:r>
      <w:r w:rsidRPr="00BA3EC0">
        <w:rPr>
          <w:rFonts w:eastAsia="Times New Roman"/>
          <w:spacing w:val="-1"/>
          <w:sz w:val="20"/>
          <w:szCs w:val="20"/>
        </w:rPr>
        <w:t>a</w:t>
      </w:r>
      <w:r w:rsidRPr="00BA3EC0">
        <w:rPr>
          <w:rFonts w:eastAsia="Times New Roman"/>
          <w:spacing w:val="1"/>
          <w:sz w:val="20"/>
          <w:szCs w:val="20"/>
        </w:rPr>
        <w:t>b</w:t>
      </w:r>
      <w:r w:rsidRPr="00BA3EC0">
        <w:rPr>
          <w:rFonts w:eastAsia="Times New Roman"/>
          <w:sz w:val="20"/>
          <w:szCs w:val="20"/>
        </w:rPr>
        <w:t>li</w:t>
      </w:r>
      <w:r w:rsidRPr="00BA3EC0">
        <w:rPr>
          <w:rFonts w:eastAsia="Times New Roman"/>
          <w:spacing w:val="-1"/>
          <w:sz w:val="20"/>
          <w:szCs w:val="20"/>
        </w:rPr>
        <w:t>s</w:t>
      </w:r>
      <w:r w:rsidRPr="00BA3EC0">
        <w:rPr>
          <w:rFonts w:eastAsia="Times New Roman"/>
          <w:spacing w:val="1"/>
          <w:sz w:val="20"/>
          <w:szCs w:val="20"/>
        </w:rPr>
        <w:t>h</w:t>
      </w:r>
      <w:r w:rsidRPr="00BA3EC0">
        <w:rPr>
          <w:rFonts w:eastAsia="Times New Roman"/>
          <w:spacing w:val="-4"/>
          <w:sz w:val="20"/>
          <w:szCs w:val="20"/>
        </w:rPr>
        <w:t>m</w:t>
      </w:r>
      <w:r w:rsidRPr="00BA3EC0">
        <w:rPr>
          <w:rFonts w:eastAsia="Times New Roman"/>
          <w:spacing w:val="-1"/>
          <w:sz w:val="20"/>
          <w:szCs w:val="20"/>
        </w:rPr>
        <w:t>e</w:t>
      </w:r>
      <w:r w:rsidRPr="00BA3EC0">
        <w:rPr>
          <w:rFonts w:eastAsia="Times New Roman"/>
          <w:spacing w:val="1"/>
          <w:sz w:val="20"/>
          <w:szCs w:val="20"/>
        </w:rPr>
        <w:t>n</w:t>
      </w:r>
      <w:r w:rsidRPr="00BA3EC0">
        <w:rPr>
          <w:rFonts w:eastAsia="Times New Roman"/>
          <w:sz w:val="20"/>
          <w:szCs w:val="20"/>
        </w:rPr>
        <w:t>t</w:t>
      </w:r>
      <w:r w:rsidRPr="00BA3EC0">
        <w:rPr>
          <w:rFonts w:eastAsia="Times New Roman"/>
          <w:spacing w:val="12"/>
          <w:sz w:val="20"/>
          <w:szCs w:val="20"/>
        </w:rPr>
        <w:t xml:space="preserve"> </w:t>
      </w:r>
      <w:r w:rsidRPr="00BA3EC0">
        <w:rPr>
          <w:rFonts w:eastAsia="Times New Roman"/>
          <w:spacing w:val="1"/>
          <w:sz w:val="20"/>
          <w:szCs w:val="20"/>
        </w:rPr>
        <w:t>o</w:t>
      </w:r>
      <w:r w:rsidRPr="00BA3EC0">
        <w:rPr>
          <w:rFonts w:eastAsia="Times New Roman"/>
          <w:sz w:val="20"/>
          <w:szCs w:val="20"/>
        </w:rPr>
        <w:t>f</w:t>
      </w:r>
      <w:r w:rsidRPr="00BA3EC0">
        <w:rPr>
          <w:rFonts w:eastAsia="Times New Roman"/>
          <w:spacing w:val="10"/>
          <w:sz w:val="20"/>
          <w:szCs w:val="20"/>
        </w:rPr>
        <w:t xml:space="preserve"> </w:t>
      </w:r>
      <w:r w:rsidRPr="00BA3EC0">
        <w:rPr>
          <w:rFonts w:eastAsia="Times New Roman"/>
          <w:spacing w:val="-1"/>
          <w:sz w:val="20"/>
          <w:szCs w:val="20"/>
        </w:rPr>
        <w:t>“</w:t>
      </w:r>
      <w:r w:rsidRPr="00BA3EC0">
        <w:rPr>
          <w:rFonts w:eastAsia="Times New Roman"/>
          <w:spacing w:val="3"/>
          <w:sz w:val="20"/>
          <w:szCs w:val="20"/>
        </w:rPr>
        <w:t>p</w:t>
      </w:r>
      <w:r w:rsidRPr="00BA3EC0">
        <w:rPr>
          <w:rFonts w:eastAsia="Times New Roman"/>
          <w:spacing w:val="-4"/>
          <w:sz w:val="20"/>
          <w:szCs w:val="20"/>
        </w:rPr>
        <w:t>y</w:t>
      </w:r>
      <w:r w:rsidRPr="00BA3EC0">
        <w:rPr>
          <w:rFonts w:eastAsia="Times New Roman"/>
          <w:sz w:val="20"/>
          <w:szCs w:val="20"/>
        </w:rPr>
        <w:t>r</w:t>
      </w:r>
      <w:r w:rsidRPr="00BA3EC0">
        <w:rPr>
          <w:rFonts w:eastAsia="Times New Roman"/>
          <w:spacing w:val="1"/>
          <w:sz w:val="20"/>
          <w:szCs w:val="20"/>
        </w:rPr>
        <w:t>am</w:t>
      </w:r>
      <w:r w:rsidRPr="00BA3EC0">
        <w:rPr>
          <w:rFonts w:eastAsia="Times New Roman"/>
          <w:sz w:val="20"/>
          <w:szCs w:val="20"/>
        </w:rPr>
        <w:t>i</w:t>
      </w:r>
      <w:r w:rsidRPr="00BA3EC0">
        <w:rPr>
          <w:rFonts w:eastAsia="Times New Roman"/>
          <w:spacing w:val="1"/>
          <w:sz w:val="20"/>
          <w:szCs w:val="20"/>
        </w:rPr>
        <w:t>d</w:t>
      </w:r>
      <w:r w:rsidRPr="00BA3EC0">
        <w:rPr>
          <w:rFonts w:eastAsia="Times New Roman"/>
          <w:sz w:val="20"/>
          <w:szCs w:val="20"/>
        </w:rPr>
        <w:t>s</w:t>
      </w:r>
      <w:r w:rsidRPr="00BA3EC0">
        <w:rPr>
          <w:rFonts w:eastAsia="Times New Roman"/>
          <w:spacing w:val="12"/>
          <w:sz w:val="20"/>
          <w:szCs w:val="20"/>
        </w:rPr>
        <w:t xml:space="preserve"> </w:t>
      </w:r>
      <w:r w:rsidRPr="00BA3EC0">
        <w:rPr>
          <w:rFonts w:eastAsia="Times New Roman"/>
          <w:spacing w:val="-1"/>
          <w:sz w:val="20"/>
          <w:szCs w:val="20"/>
        </w:rPr>
        <w:t>a</w:t>
      </w:r>
      <w:r w:rsidRPr="00BA3EC0">
        <w:rPr>
          <w:rFonts w:eastAsia="Times New Roman"/>
          <w:spacing w:val="1"/>
          <w:sz w:val="20"/>
          <w:szCs w:val="20"/>
        </w:rPr>
        <w:t>n</w:t>
      </w:r>
      <w:r w:rsidRPr="00BA3EC0">
        <w:rPr>
          <w:rFonts w:eastAsia="Times New Roman"/>
          <w:sz w:val="20"/>
          <w:szCs w:val="20"/>
        </w:rPr>
        <w:t>d</w:t>
      </w:r>
      <w:r w:rsidRPr="00BA3EC0">
        <w:rPr>
          <w:rFonts w:eastAsia="Times New Roman"/>
          <w:spacing w:val="13"/>
          <w:sz w:val="20"/>
          <w:szCs w:val="20"/>
        </w:rPr>
        <w:t xml:space="preserve"> </w:t>
      </w:r>
      <w:r w:rsidRPr="00BA3EC0">
        <w:rPr>
          <w:rFonts w:eastAsia="Times New Roman"/>
          <w:spacing w:val="-1"/>
          <w:sz w:val="20"/>
          <w:szCs w:val="20"/>
        </w:rPr>
        <w:t>c</w:t>
      </w:r>
      <w:r w:rsidRPr="00BA3EC0">
        <w:rPr>
          <w:rFonts w:eastAsia="Times New Roman"/>
          <w:sz w:val="20"/>
          <w:szCs w:val="20"/>
        </w:rPr>
        <w:t>r</w:t>
      </w:r>
      <w:r w:rsidRPr="00BA3EC0">
        <w:rPr>
          <w:rFonts w:eastAsia="Times New Roman"/>
          <w:spacing w:val="1"/>
          <w:sz w:val="20"/>
          <w:szCs w:val="20"/>
        </w:rPr>
        <w:t>o</w:t>
      </w:r>
      <w:r w:rsidRPr="00BA3EC0">
        <w:rPr>
          <w:rFonts w:eastAsia="Times New Roman"/>
          <w:spacing w:val="-1"/>
          <w:sz w:val="20"/>
          <w:szCs w:val="20"/>
        </w:rPr>
        <w:t>s</w:t>
      </w:r>
      <w:r w:rsidRPr="00BA3EC0">
        <w:rPr>
          <w:rFonts w:eastAsia="Times New Roman"/>
          <w:spacing w:val="-2"/>
          <w:sz w:val="20"/>
          <w:szCs w:val="20"/>
        </w:rPr>
        <w:t>s</w:t>
      </w:r>
      <w:r w:rsidRPr="00BA3EC0">
        <w:rPr>
          <w:rFonts w:eastAsia="Times New Roman"/>
          <w:sz w:val="20"/>
          <w:szCs w:val="20"/>
        </w:rPr>
        <w:t>-</w:t>
      </w:r>
      <w:r w:rsidRPr="00BA3EC0">
        <w:rPr>
          <w:rFonts w:eastAsia="Times New Roman"/>
          <w:spacing w:val="-2"/>
          <w:sz w:val="20"/>
          <w:szCs w:val="20"/>
        </w:rPr>
        <w:t>h</w:t>
      </w:r>
      <w:r w:rsidRPr="00BA3EC0">
        <w:rPr>
          <w:rFonts w:eastAsia="Times New Roman"/>
          <w:spacing w:val="1"/>
          <w:sz w:val="20"/>
          <w:szCs w:val="20"/>
        </w:rPr>
        <w:t>o</w:t>
      </w:r>
      <w:r w:rsidRPr="00BA3EC0">
        <w:rPr>
          <w:rFonts w:eastAsia="Times New Roman"/>
          <w:spacing w:val="-2"/>
          <w:sz w:val="20"/>
          <w:szCs w:val="20"/>
        </w:rPr>
        <w:t>l</w:t>
      </w:r>
      <w:r w:rsidRPr="00BA3EC0">
        <w:rPr>
          <w:rFonts w:eastAsia="Times New Roman"/>
          <w:spacing w:val="1"/>
          <w:sz w:val="20"/>
          <w:szCs w:val="20"/>
        </w:rPr>
        <w:t>d</w:t>
      </w:r>
      <w:r w:rsidRPr="00BA3EC0">
        <w:rPr>
          <w:rFonts w:eastAsia="Times New Roman"/>
          <w:sz w:val="20"/>
          <w:szCs w:val="20"/>
        </w:rPr>
        <w:t>i</w:t>
      </w:r>
      <w:r w:rsidRPr="00BA3EC0">
        <w:rPr>
          <w:rFonts w:eastAsia="Times New Roman"/>
          <w:spacing w:val="1"/>
          <w:sz w:val="20"/>
          <w:szCs w:val="20"/>
        </w:rPr>
        <w:t>n</w:t>
      </w:r>
      <w:r w:rsidRPr="00BA3EC0">
        <w:rPr>
          <w:rFonts w:eastAsia="Times New Roman"/>
          <w:spacing w:val="-2"/>
          <w:sz w:val="20"/>
          <w:szCs w:val="20"/>
        </w:rPr>
        <w:t>g</w:t>
      </w:r>
      <w:r w:rsidRPr="00BA3EC0">
        <w:rPr>
          <w:rFonts w:eastAsia="Times New Roman"/>
          <w:spacing w:val="-1"/>
          <w:sz w:val="20"/>
          <w:szCs w:val="20"/>
        </w:rPr>
        <w:t>s</w:t>
      </w:r>
      <w:r w:rsidRPr="00BA3EC0">
        <w:rPr>
          <w:rFonts w:eastAsia="Times New Roman"/>
          <w:sz w:val="20"/>
          <w:szCs w:val="20"/>
        </w:rPr>
        <w:t>,</w:t>
      </w:r>
      <w:r w:rsidRPr="00BA3EC0">
        <w:rPr>
          <w:rFonts w:eastAsia="Times New Roman"/>
          <w:spacing w:val="13"/>
          <w:sz w:val="20"/>
          <w:szCs w:val="20"/>
        </w:rPr>
        <w:t xml:space="preserve"> </w:t>
      </w:r>
      <w:r w:rsidRPr="00BA3EC0">
        <w:rPr>
          <w:rFonts w:eastAsia="Times New Roman"/>
          <w:spacing w:val="-1"/>
          <w:sz w:val="20"/>
          <w:szCs w:val="20"/>
        </w:rPr>
        <w:t>a</w:t>
      </w:r>
      <w:r w:rsidRPr="00BA3EC0">
        <w:rPr>
          <w:rFonts w:eastAsia="Times New Roman"/>
          <w:spacing w:val="1"/>
          <w:sz w:val="20"/>
          <w:szCs w:val="20"/>
        </w:rPr>
        <w:t>n</w:t>
      </w:r>
      <w:r w:rsidRPr="00BA3EC0">
        <w:rPr>
          <w:rFonts w:eastAsia="Times New Roman"/>
          <w:sz w:val="20"/>
          <w:szCs w:val="20"/>
        </w:rPr>
        <w:t>d</w:t>
      </w:r>
      <w:r w:rsidRPr="00BA3EC0">
        <w:rPr>
          <w:rFonts w:eastAsia="Times New Roman"/>
          <w:spacing w:val="13"/>
          <w:sz w:val="20"/>
          <w:szCs w:val="20"/>
        </w:rPr>
        <w:t xml:space="preserve"> </w:t>
      </w:r>
      <w:r w:rsidRPr="00BA3EC0">
        <w:rPr>
          <w:rFonts w:eastAsia="Times New Roman"/>
          <w:spacing w:val="-4"/>
          <w:sz w:val="20"/>
          <w:szCs w:val="20"/>
        </w:rPr>
        <w:t>c</w:t>
      </w:r>
      <w:r w:rsidRPr="00BA3EC0">
        <w:rPr>
          <w:rFonts w:eastAsia="Times New Roman"/>
          <w:spacing w:val="1"/>
          <w:sz w:val="20"/>
          <w:szCs w:val="20"/>
        </w:rPr>
        <w:t>o</w:t>
      </w:r>
      <w:r w:rsidRPr="00BA3EC0">
        <w:rPr>
          <w:rFonts w:eastAsia="Times New Roman"/>
          <w:spacing w:val="-2"/>
          <w:sz w:val="20"/>
          <w:szCs w:val="20"/>
        </w:rPr>
        <w:t>v</w:t>
      </w:r>
      <w:r w:rsidRPr="00BA3EC0">
        <w:rPr>
          <w:rFonts w:eastAsia="Times New Roman"/>
          <w:spacing w:val="-1"/>
          <w:sz w:val="20"/>
          <w:szCs w:val="20"/>
        </w:rPr>
        <w:t>e</w:t>
      </w:r>
      <w:r w:rsidRPr="00BA3EC0">
        <w:rPr>
          <w:rFonts w:eastAsia="Times New Roman"/>
          <w:spacing w:val="1"/>
          <w:sz w:val="20"/>
          <w:szCs w:val="20"/>
        </w:rPr>
        <w:t>n</w:t>
      </w:r>
      <w:r w:rsidRPr="00BA3EC0">
        <w:rPr>
          <w:rFonts w:eastAsia="Times New Roman"/>
          <w:spacing w:val="-1"/>
          <w:sz w:val="20"/>
          <w:szCs w:val="20"/>
        </w:rPr>
        <w:t>a</w:t>
      </w:r>
      <w:r w:rsidRPr="00BA3EC0">
        <w:rPr>
          <w:rFonts w:eastAsia="Times New Roman"/>
          <w:spacing w:val="1"/>
          <w:sz w:val="20"/>
          <w:szCs w:val="20"/>
        </w:rPr>
        <w:t>n</w:t>
      </w:r>
      <w:r w:rsidRPr="00BA3EC0">
        <w:rPr>
          <w:rFonts w:eastAsia="Times New Roman"/>
          <w:sz w:val="20"/>
          <w:szCs w:val="20"/>
        </w:rPr>
        <w:t>ts</w:t>
      </w:r>
      <w:r w:rsidRPr="00BA3EC0">
        <w:rPr>
          <w:rFonts w:eastAsia="Times New Roman"/>
          <w:spacing w:val="12"/>
          <w:sz w:val="20"/>
          <w:szCs w:val="20"/>
        </w:rPr>
        <w:t xml:space="preserve"> </w:t>
      </w:r>
      <w:r w:rsidRPr="00BA3EC0">
        <w:rPr>
          <w:rFonts w:eastAsia="Times New Roman"/>
          <w:sz w:val="20"/>
          <w:szCs w:val="20"/>
        </w:rPr>
        <w:t>t</w:t>
      </w:r>
      <w:r w:rsidRPr="00BA3EC0">
        <w:rPr>
          <w:rFonts w:eastAsia="Times New Roman"/>
          <w:spacing w:val="1"/>
          <w:sz w:val="20"/>
          <w:szCs w:val="20"/>
        </w:rPr>
        <w:t>h</w:t>
      </w:r>
      <w:r w:rsidRPr="00BA3EC0">
        <w:rPr>
          <w:rFonts w:eastAsia="Times New Roman"/>
          <w:spacing w:val="-1"/>
          <w:sz w:val="20"/>
          <w:szCs w:val="20"/>
        </w:rPr>
        <w:t>a</w:t>
      </w:r>
      <w:r w:rsidRPr="00BA3EC0">
        <w:rPr>
          <w:rFonts w:eastAsia="Times New Roman"/>
          <w:sz w:val="20"/>
          <w:szCs w:val="20"/>
        </w:rPr>
        <w:t>t</w:t>
      </w:r>
      <w:r w:rsidRPr="00BA3EC0">
        <w:rPr>
          <w:rFonts w:eastAsia="Times New Roman"/>
          <w:spacing w:val="12"/>
          <w:sz w:val="20"/>
          <w:szCs w:val="20"/>
        </w:rPr>
        <w:t xml:space="preserve"> </w:t>
      </w:r>
      <w:r w:rsidRPr="00BA3EC0">
        <w:rPr>
          <w:rFonts w:eastAsia="Times New Roman"/>
          <w:spacing w:val="-1"/>
          <w:sz w:val="20"/>
          <w:szCs w:val="20"/>
        </w:rPr>
        <w:t>a</w:t>
      </w:r>
      <w:r w:rsidRPr="00BA3EC0">
        <w:rPr>
          <w:rFonts w:eastAsia="Times New Roman"/>
          <w:sz w:val="20"/>
          <w:szCs w:val="20"/>
        </w:rPr>
        <w:t>l</w:t>
      </w:r>
      <w:r w:rsidRPr="00BA3EC0">
        <w:rPr>
          <w:rFonts w:eastAsia="Times New Roman"/>
          <w:spacing w:val="-2"/>
          <w:sz w:val="20"/>
          <w:szCs w:val="20"/>
        </w:rPr>
        <w:t>l</w:t>
      </w:r>
      <w:r w:rsidRPr="00BA3EC0">
        <w:rPr>
          <w:rFonts w:eastAsia="Times New Roman"/>
          <w:spacing w:val="1"/>
          <w:sz w:val="20"/>
          <w:szCs w:val="20"/>
        </w:rPr>
        <w:t>o</w:t>
      </w:r>
      <w:r w:rsidRPr="00BA3EC0">
        <w:rPr>
          <w:rFonts w:eastAsia="Times New Roman"/>
          <w:sz w:val="20"/>
          <w:szCs w:val="20"/>
        </w:rPr>
        <w:t>w</w:t>
      </w:r>
      <w:r w:rsidRPr="00BA3EC0">
        <w:rPr>
          <w:rFonts w:eastAsia="Times New Roman"/>
          <w:spacing w:val="9"/>
          <w:sz w:val="20"/>
          <w:szCs w:val="20"/>
        </w:rPr>
        <w:t xml:space="preserve"> </w:t>
      </w:r>
      <w:r w:rsidRPr="00BA3EC0">
        <w:rPr>
          <w:rFonts w:eastAsia="Times New Roman"/>
          <w:sz w:val="20"/>
          <w:szCs w:val="20"/>
        </w:rPr>
        <w:t>t</w:t>
      </w:r>
      <w:r w:rsidRPr="00BA3EC0">
        <w:rPr>
          <w:rFonts w:eastAsia="Times New Roman"/>
          <w:spacing w:val="1"/>
          <w:sz w:val="20"/>
          <w:szCs w:val="20"/>
        </w:rPr>
        <w:t>h</w:t>
      </w:r>
      <w:r w:rsidRPr="00BA3EC0">
        <w:rPr>
          <w:rFonts w:eastAsia="Times New Roman"/>
          <w:sz w:val="20"/>
          <w:szCs w:val="20"/>
        </w:rPr>
        <w:t>e</w:t>
      </w:r>
      <w:r w:rsidRPr="00BA3EC0">
        <w:rPr>
          <w:rFonts w:eastAsia="Times New Roman"/>
          <w:spacing w:val="11"/>
          <w:sz w:val="20"/>
          <w:szCs w:val="20"/>
        </w:rPr>
        <w:t xml:space="preserve"> </w:t>
      </w:r>
      <w:r w:rsidRPr="00BA3EC0">
        <w:rPr>
          <w:rFonts w:eastAsia="Times New Roman"/>
          <w:sz w:val="20"/>
          <w:szCs w:val="20"/>
        </w:rPr>
        <w:t>f</w:t>
      </w:r>
      <w:r w:rsidRPr="00BA3EC0">
        <w:rPr>
          <w:rFonts w:eastAsia="Times New Roman"/>
          <w:spacing w:val="1"/>
          <w:sz w:val="20"/>
          <w:szCs w:val="20"/>
        </w:rPr>
        <w:t>a</w:t>
      </w:r>
      <w:r w:rsidRPr="00BA3EC0">
        <w:rPr>
          <w:rFonts w:eastAsia="Times New Roman"/>
          <w:spacing w:val="-4"/>
          <w:sz w:val="20"/>
          <w:szCs w:val="20"/>
        </w:rPr>
        <w:t>m</w:t>
      </w:r>
      <w:r w:rsidRPr="00BA3EC0">
        <w:rPr>
          <w:rFonts w:eastAsia="Times New Roman"/>
          <w:sz w:val="20"/>
          <w:szCs w:val="20"/>
        </w:rPr>
        <w:t>i</w:t>
      </w:r>
      <w:r w:rsidRPr="00BA3EC0">
        <w:rPr>
          <w:rFonts w:eastAsia="Times New Roman"/>
          <w:spacing w:val="2"/>
          <w:sz w:val="20"/>
          <w:szCs w:val="20"/>
        </w:rPr>
        <w:t>l</w:t>
      </w:r>
      <w:r w:rsidRPr="00BA3EC0">
        <w:rPr>
          <w:rFonts w:eastAsia="Times New Roman"/>
          <w:sz w:val="20"/>
          <w:szCs w:val="20"/>
        </w:rPr>
        <w:t>y</w:t>
      </w:r>
      <w:r w:rsidRPr="00BA3EC0">
        <w:rPr>
          <w:rFonts w:eastAsia="Times New Roman"/>
          <w:spacing w:val="9"/>
          <w:sz w:val="20"/>
          <w:szCs w:val="20"/>
        </w:rPr>
        <w:t xml:space="preserve"> </w:t>
      </w:r>
      <w:r w:rsidRPr="00BA3EC0">
        <w:rPr>
          <w:rFonts w:eastAsia="Times New Roman"/>
          <w:sz w:val="20"/>
          <w:szCs w:val="20"/>
        </w:rPr>
        <w:t xml:space="preserve">to </w:t>
      </w:r>
      <w:r w:rsidRPr="00BA3EC0">
        <w:rPr>
          <w:rFonts w:eastAsia="Times New Roman"/>
          <w:spacing w:val="-1"/>
          <w:sz w:val="20"/>
          <w:szCs w:val="20"/>
        </w:rPr>
        <w:t>a</w:t>
      </w:r>
      <w:r w:rsidRPr="00BA3EC0">
        <w:rPr>
          <w:rFonts w:eastAsia="Times New Roman"/>
          <w:spacing w:val="1"/>
          <w:sz w:val="20"/>
          <w:szCs w:val="20"/>
        </w:rPr>
        <w:t>ppo</w:t>
      </w:r>
      <w:r w:rsidRPr="00BA3EC0">
        <w:rPr>
          <w:rFonts w:eastAsia="Times New Roman"/>
          <w:spacing w:val="-2"/>
          <w:sz w:val="20"/>
          <w:szCs w:val="20"/>
        </w:rPr>
        <w:t>i</w:t>
      </w:r>
      <w:r w:rsidRPr="00BA3EC0">
        <w:rPr>
          <w:rFonts w:eastAsia="Times New Roman"/>
          <w:spacing w:val="1"/>
          <w:sz w:val="20"/>
          <w:szCs w:val="20"/>
        </w:rPr>
        <w:t>n</w:t>
      </w:r>
      <w:r w:rsidRPr="00BA3EC0">
        <w:rPr>
          <w:rFonts w:eastAsia="Times New Roman"/>
          <w:sz w:val="20"/>
          <w:szCs w:val="20"/>
        </w:rPr>
        <w:t xml:space="preserve">t </w:t>
      </w:r>
      <w:r w:rsidRPr="00BA3EC0">
        <w:rPr>
          <w:rFonts w:eastAsia="Times New Roman"/>
          <w:spacing w:val="-2"/>
          <w:sz w:val="20"/>
          <w:szCs w:val="20"/>
        </w:rPr>
        <w:t>t</w:t>
      </w:r>
      <w:r w:rsidRPr="00BA3EC0">
        <w:rPr>
          <w:rFonts w:eastAsia="Times New Roman"/>
          <w:spacing w:val="1"/>
          <w:sz w:val="20"/>
          <w:szCs w:val="20"/>
        </w:rPr>
        <w:t>h</w:t>
      </w:r>
      <w:r w:rsidRPr="00BA3EC0">
        <w:rPr>
          <w:rFonts w:eastAsia="Times New Roman"/>
          <w:sz w:val="20"/>
          <w:szCs w:val="20"/>
        </w:rPr>
        <w:t>e</w:t>
      </w:r>
      <w:r w:rsidRPr="00BA3EC0">
        <w:rPr>
          <w:rFonts w:eastAsia="Times New Roman"/>
          <w:spacing w:val="-1"/>
          <w:sz w:val="20"/>
          <w:szCs w:val="20"/>
        </w:rPr>
        <w:t xml:space="preserve"> c</w:t>
      </w:r>
      <w:r w:rsidRPr="00BA3EC0">
        <w:rPr>
          <w:rFonts w:eastAsia="Times New Roman"/>
          <w:spacing w:val="1"/>
          <w:sz w:val="20"/>
          <w:szCs w:val="20"/>
        </w:rPr>
        <w:t>h</w:t>
      </w:r>
      <w:r w:rsidRPr="00BA3EC0">
        <w:rPr>
          <w:rFonts w:eastAsia="Times New Roman"/>
          <w:sz w:val="20"/>
          <w:szCs w:val="20"/>
        </w:rPr>
        <w:t>i</w:t>
      </w:r>
      <w:r w:rsidRPr="00BA3EC0">
        <w:rPr>
          <w:rFonts w:eastAsia="Times New Roman"/>
          <w:spacing w:val="-1"/>
          <w:sz w:val="20"/>
          <w:szCs w:val="20"/>
        </w:rPr>
        <w:t>e</w:t>
      </w:r>
      <w:r w:rsidRPr="00BA3EC0">
        <w:rPr>
          <w:rFonts w:eastAsia="Times New Roman"/>
          <w:sz w:val="20"/>
          <w:szCs w:val="20"/>
        </w:rPr>
        <w:t>f</w:t>
      </w:r>
      <w:r w:rsidRPr="00BA3EC0">
        <w:rPr>
          <w:rFonts w:eastAsia="Times New Roman"/>
          <w:spacing w:val="-2"/>
          <w:sz w:val="20"/>
          <w:szCs w:val="20"/>
        </w:rPr>
        <w:t xml:space="preserve"> </w:t>
      </w:r>
      <w:r w:rsidRPr="00BA3EC0">
        <w:rPr>
          <w:rFonts w:eastAsia="Times New Roman"/>
          <w:spacing w:val="-1"/>
          <w:sz w:val="20"/>
          <w:szCs w:val="20"/>
        </w:rPr>
        <w:t>e</w:t>
      </w:r>
      <w:r w:rsidRPr="00BA3EC0">
        <w:rPr>
          <w:rFonts w:eastAsia="Times New Roman"/>
          <w:spacing w:val="-2"/>
          <w:sz w:val="20"/>
          <w:szCs w:val="20"/>
        </w:rPr>
        <w:t>x</w:t>
      </w:r>
      <w:r w:rsidRPr="00BA3EC0">
        <w:rPr>
          <w:rFonts w:eastAsia="Times New Roman"/>
          <w:spacing w:val="-1"/>
          <w:sz w:val="20"/>
          <w:szCs w:val="20"/>
        </w:rPr>
        <w:t>ec</w:t>
      </w:r>
      <w:r w:rsidRPr="00BA3EC0">
        <w:rPr>
          <w:rFonts w:eastAsia="Times New Roman"/>
          <w:spacing w:val="1"/>
          <w:sz w:val="20"/>
          <w:szCs w:val="20"/>
        </w:rPr>
        <w:t>u</w:t>
      </w:r>
      <w:r w:rsidRPr="00BA3EC0">
        <w:rPr>
          <w:rFonts w:eastAsia="Times New Roman"/>
          <w:sz w:val="20"/>
          <w:szCs w:val="20"/>
        </w:rPr>
        <w:t>ti</w:t>
      </w:r>
      <w:r w:rsidRPr="00BA3EC0">
        <w:rPr>
          <w:rFonts w:eastAsia="Times New Roman"/>
          <w:spacing w:val="-2"/>
          <w:sz w:val="20"/>
          <w:szCs w:val="20"/>
        </w:rPr>
        <w:t>v</w:t>
      </w:r>
      <w:r w:rsidRPr="00BA3EC0">
        <w:rPr>
          <w:rFonts w:eastAsia="Times New Roman"/>
          <w:sz w:val="20"/>
          <w:szCs w:val="20"/>
        </w:rPr>
        <w:t>e</w:t>
      </w:r>
      <w:r w:rsidRPr="00BA3EC0">
        <w:rPr>
          <w:rFonts w:eastAsia="Times New Roman"/>
          <w:spacing w:val="-1"/>
          <w:sz w:val="20"/>
          <w:szCs w:val="20"/>
        </w:rPr>
        <w:t xml:space="preserve"> </w:t>
      </w:r>
      <w:r w:rsidRPr="00BA3EC0">
        <w:rPr>
          <w:rFonts w:eastAsia="Times New Roman"/>
          <w:spacing w:val="1"/>
          <w:sz w:val="20"/>
          <w:szCs w:val="20"/>
        </w:rPr>
        <w:t>o</w:t>
      </w:r>
      <w:r w:rsidRPr="00BA3EC0">
        <w:rPr>
          <w:rFonts w:eastAsia="Times New Roman"/>
          <w:sz w:val="20"/>
          <w:szCs w:val="20"/>
        </w:rPr>
        <w:t>f</w:t>
      </w:r>
      <w:r w:rsidRPr="00BA3EC0">
        <w:rPr>
          <w:rFonts w:eastAsia="Times New Roman"/>
          <w:spacing w:val="-3"/>
          <w:sz w:val="20"/>
          <w:szCs w:val="20"/>
        </w:rPr>
        <w:t>f</w:t>
      </w:r>
      <w:r w:rsidRPr="00BA3EC0">
        <w:rPr>
          <w:rFonts w:eastAsia="Times New Roman"/>
          <w:sz w:val="20"/>
          <w:szCs w:val="20"/>
        </w:rPr>
        <w:t>i</w:t>
      </w:r>
      <w:r w:rsidRPr="00BA3EC0">
        <w:rPr>
          <w:rFonts w:eastAsia="Times New Roman"/>
          <w:spacing w:val="1"/>
          <w:sz w:val="20"/>
          <w:szCs w:val="20"/>
        </w:rPr>
        <w:t>ce</w:t>
      </w:r>
      <w:r w:rsidRPr="00BA3EC0">
        <w:rPr>
          <w:rFonts w:eastAsia="Times New Roman"/>
          <w:sz w:val="20"/>
          <w:szCs w:val="20"/>
        </w:rPr>
        <w:t xml:space="preserve">r </w:t>
      </w:r>
      <w:r w:rsidRPr="00BA3EC0">
        <w:rPr>
          <w:rFonts w:eastAsia="Times New Roman"/>
          <w:spacing w:val="1"/>
          <w:sz w:val="20"/>
          <w:szCs w:val="20"/>
        </w:rPr>
        <w:t>o</w:t>
      </w:r>
      <w:r w:rsidRPr="00BA3EC0">
        <w:rPr>
          <w:rFonts w:eastAsia="Times New Roman"/>
          <w:sz w:val="20"/>
          <w:szCs w:val="20"/>
        </w:rPr>
        <w:t>r</w:t>
      </w:r>
      <w:r w:rsidRPr="00BA3EC0">
        <w:rPr>
          <w:rFonts w:eastAsia="Times New Roman"/>
          <w:spacing w:val="-2"/>
          <w:sz w:val="20"/>
          <w:szCs w:val="20"/>
        </w:rPr>
        <w:t xml:space="preserve"> </w:t>
      </w:r>
      <w:r w:rsidRPr="00BA3EC0">
        <w:rPr>
          <w:rFonts w:eastAsia="Times New Roman"/>
          <w:spacing w:val="1"/>
          <w:sz w:val="20"/>
          <w:szCs w:val="20"/>
        </w:rPr>
        <w:t>bo</w:t>
      </w:r>
      <w:r w:rsidRPr="00BA3EC0">
        <w:rPr>
          <w:rFonts w:eastAsia="Times New Roman"/>
          <w:spacing w:val="-1"/>
          <w:sz w:val="20"/>
          <w:szCs w:val="20"/>
        </w:rPr>
        <w:t>a</w:t>
      </w:r>
      <w:r w:rsidRPr="00BA3EC0">
        <w:rPr>
          <w:rFonts w:eastAsia="Times New Roman"/>
          <w:sz w:val="20"/>
          <w:szCs w:val="20"/>
        </w:rPr>
        <w:t>rd</w:t>
      </w:r>
      <w:r w:rsidRPr="00BA3EC0">
        <w:rPr>
          <w:rFonts w:eastAsia="Times New Roman"/>
          <w:spacing w:val="-1"/>
          <w:sz w:val="20"/>
          <w:szCs w:val="20"/>
        </w:rPr>
        <w:t xml:space="preserve"> </w:t>
      </w:r>
      <w:r w:rsidRPr="00BA3EC0">
        <w:rPr>
          <w:rFonts w:eastAsia="Times New Roman"/>
          <w:spacing w:val="-4"/>
          <w:sz w:val="20"/>
          <w:szCs w:val="20"/>
        </w:rPr>
        <w:t>m</w:t>
      </w:r>
      <w:r w:rsidRPr="00BA3EC0">
        <w:rPr>
          <w:rFonts w:eastAsia="Times New Roman"/>
          <w:spacing w:val="1"/>
          <w:sz w:val="20"/>
          <w:szCs w:val="20"/>
        </w:rPr>
        <w:t>e</w:t>
      </w:r>
      <w:r w:rsidRPr="00BA3EC0">
        <w:rPr>
          <w:rFonts w:eastAsia="Times New Roman"/>
          <w:spacing w:val="-4"/>
          <w:sz w:val="20"/>
          <w:szCs w:val="20"/>
        </w:rPr>
        <w:t>m</w:t>
      </w:r>
      <w:r w:rsidRPr="00BA3EC0">
        <w:rPr>
          <w:rFonts w:eastAsia="Times New Roman"/>
          <w:spacing w:val="1"/>
          <w:sz w:val="20"/>
          <w:szCs w:val="20"/>
        </w:rPr>
        <w:t>b</w:t>
      </w:r>
      <w:r w:rsidRPr="00BA3EC0">
        <w:rPr>
          <w:rFonts w:eastAsia="Times New Roman"/>
          <w:spacing w:val="-1"/>
          <w:sz w:val="20"/>
          <w:szCs w:val="20"/>
        </w:rPr>
        <w:t>e</w:t>
      </w:r>
      <w:r w:rsidRPr="00BA3EC0">
        <w:rPr>
          <w:rFonts w:eastAsia="Times New Roman"/>
          <w:sz w:val="20"/>
          <w:szCs w:val="20"/>
        </w:rPr>
        <w:t>r</w:t>
      </w:r>
      <w:r w:rsidRPr="00BA3EC0">
        <w:rPr>
          <w:rFonts w:eastAsia="Times New Roman"/>
          <w:spacing w:val="-1"/>
          <w:sz w:val="20"/>
          <w:szCs w:val="20"/>
        </w:rPr>
        <w:t>s</w:t>
      </w:r>
      <w:r w:rsidRPr="00BA3EC0">
        <w:rPr>
          <w:rFonts w:eastAsia="Times New Roman"/>
          <w:sz w:val="20"/>
          <w:szCs w:val="20"/>
        </w:rPr>
        <w:t>,</w:t>
      </w:r>
      <w:r w:rsidRPr="00BA3EC0">
        <w:rPr>
          <w:rFonts w:eastAsia="Times New Roman"/>
          <w:spacing w:val="1"/>
          <w:sz w:val="20"/>
          <w:szCs w:val="20"/>
        </w:rPr>
        <w:t xml:space="preserve"> o</w:t>
      </w:r>
      <w:r w:rsidRPr="00BA3EC0">
        <w:rPr>
          <w:rFonts w:eastAsia="Times New Roman"/>
          <w:sz w:val="20"/>
          <w:szCs w:val="20"/>
        </w:rPr>
        <w:t xml:space="preserve">r </w:t>
      </w:r>
      <w:r w:rsidRPr="00BA3EC0">
        <w:rPr>
          <w:rFonts w:eastAsia="Times New Roman"/>
          <w:spacing w:val="-1"/>
          <w:sz w:val="20"/>
          <w:szCs w:val="20"/>
        </w:rPr>
        <w:t>e</w:t>
      </w:r>
      <w:r w:rsidRPr="00BA3EC0">
        <w:rPr>
          <w:rFonts w:eastAsia="Times New Roman"/>
          <w:spacing w:val="-2"/>
          <w:sz w:val="20"/>
          <w:szCs w:val="20"/>
        </w:rPr>
        <w:t>v</w:t>
      </w:r>
      <w:r w:rsidRPr="00BA3EC0">
        <w:rPr>
          <w:rFonts w:eastAsia="Times New Roman"/>
          <w:spacing w:val="-1"/>
          <w:sz w:val="20"/>
          <w:szCs w:val="20"/>
        </w:rPr>
        <w:t>e</w:t>
      </w:r>
      <w:r w:rsidRPr="00BA3EC0">
        <w:rPr>
          <w:rFonts w:eastAsia="Times New Roman"/>
          <w:sz w:val="20"/>
          <w:szCs w:val="20"/>
        </w:rPr>
        <w:t>n</w:t>
      </w:r>
      <w:r w:rsidRPr="00BA3EC0">
        <w:rPr>
          <w:rFonts w:eastAsia="Times New Roman"/>
          <w:spacing w:val="1"/>
          <w:sz w:val="20"/>
          <w:szCs w:val="20"/>
        </w:rPr>
        <w:t xml:space="preserve"> </w:t>
      </w:r>
      <w:r w:rsidRPr="00BA3EC0">
        <w:rPr>
          <w:rFonts w:eastAsia="Times New Roman"/>
          <w:spacing w:val="3"/>
          <w:sz w:val="20"/>
          <w:szCs w:val="20"/>
        </w:rPr>
        <w:t>b</w:t>
      </w:r>
      <w:r w:rsidRPr="00BA3EC0">
        <w:rPr>
          <w:rFonts w:eastAsia="Times New Roman"/>
          <w:spacing w:val="-4"/>
          <w:sz w:val="20"/>
          <w:szCs w:val="20"/>
        </w:rPr>
        <w:t>y</w:t>
      </w:r>
      <w:r w:rsidRPr="00BA3EC0">
        <w:rPr>
          <w:rFonts w:eastAsia="Times New Roman"/>
          <w:spacing w:val="1"/>
          <w:sz w:val="20"/>
          <w:szCs w:val="20"/>
        </w:rPr>
        <w:t>p</w:t>
      </w:r>
      <w:r w:rsidRPr="00BA3EC0">
        <w:rPr>
          <w:rFonts w:eastAsia="Times New Roman"/>
          <w:spacing w:val="-1"/>
          <w:sz w:val="20"/>
          <w:szCs w:val="20"/>
        </w:rPr>
        <w:t>as</w:t>
      </w:r>
      <w:r w:rsidRPr="00BA3EC0">
        <w:rPr>
          <w:rFonts w:eastAsia="Times New Roman"/>
          <w:sz w:val="20"/>
          <w:szCs w:val="20"/>
        </w:rPr>
        <w:t>s t</w:t>
      </w:r>
      <w:r w:rsidRPr="00BA3EC0">
        <w:rPr>
          <w:rFonts w:eastAsia="Times New Roman"/>
          <w:spacing w:val="1"/>
          <w:sz w:val="20"/>
          <w:szCs w:val="20"/>
        </w:rPr>
        <w:t>h</w:t>
      </w:r>
      <w:r w:rsidRPr="00BA3EC0">
        <w:rPr>
          <w:rFonts w:eastAsia="Times New Roman"/>
          <w:sz w:val="20"/>
          <w:szCs w:val="20"/>
        </w:rPr>
        <w:t>e</w:t>
      </w:r>
      <w:r w:rsidRPr="00BA3EC0">
        <w:rPr>
          <w:rFonts w:eastAsia="Times New Roman"/>
          <w:spacing w:val="-1"/>
          <w:sz w:val="20"/>
          <w:szCs w:val="20"/>
        </w:rPr>
        <w:t xml:space="preserve"> </w:t>
      </w:r>
      <w:r w:rsidRPr="00BA3EC0">
        <w:rPr>
          <w:rFonts w:eastAsia="Times New Roman"/>
          <w:spacing w:val="1"/>
          <w:sz w:val="20"/>
          <w:szCs w:val="20"/>
        </w:rPr>
        <w:t>bo</w:t>
      </w:r>
      <w:r w:rsidRPr="00BA3EC0">
        <w:rPr>
          <w:rFonts w:eastAsia="Times New Roman"/>
          <w:spacing w:val="-1"/>
          <w:sz w:val="20"/>
          <w:szCs w:val="20"/>
        </w:rPr>
        <w:t>a</w:t>
      </w:r>
      <w:r w:rsidRPr="00BA3EC0">
        <w:rPr>
          <w:rFonts w:eastAsia="Times New Roman"/>
          <w:spacing w:val="-3"/>
          <w:sz w:val="20"/>
          <w:szCs w:val="20"/>
        </w:rPr>
        <w:t>r</w:t>
      </w:r>
      <w:r w:rsidRPr="00BA3EC0">
        <w:rPr>
          <w:rFonts w:eastAsia="Times New Roman"/>
          <w:sz w:val="20"/>
          <w:szCs w:val="20"/>
        </w:rPr>
        <w:t>d</w:t>
      </w:r>
      <w:r w:rsidRPr="00BA3EC0">
        <w:rPr>
          <w:rFonts w:eastAsia="Times New Roman"/>
          <w:spacing w:val="1"/>
          <w:sz w:val="20"/>
          <w:szCs w:val="20"/>
        </w:rPr>
        <w:t xml:space="preserve"> </w:t>
      </w:r>
      <w:r w:rsidRPr="00BA3EC0">
        <w:rPr>
          <w:rFonts w:eastAsia="Times New Roman"/>
          <w:spacing w:val="-3"/>
          <w:sz w:val="20"/>
          <w:szCs w:val="20"/>
        </w:rPr>
        <w:t>f</w:t>
      </w:r>
      <w:r w:rsidRPr="00BA3EC0">
        <w:rPr>
          <w:rFonts w:eastAsia="Times New Roman"/>
          <w:spacing w:val="1"/>
          <w:sz w:val="20"/>
          <w:szCs w:val="20"/>
        </w:rPr>
        <w:t>o</w:t>
      </w:r>
      <w:r w:rsidRPr="00BA3EC0">
        <w:rPr>
          <w:rFonts w:eastAsia="Times New Roman"/>
          <w:sz w:val="20"/>
          <w:szCs w:val="20"/>
        </w:rPr>
        <w:t xml:space="preserve">r </w:t>
      </w:r>
      <w:r w:rsidRPr="00BA3EC0">
        <w:rPr>
          <w:rFonts w:eastAsia="Times New Roman"/>
          <w:spacing w:val="-1"/>
          <w:sz w:val="20"/>
          <w:szCs w:val="20"/>
        </w:rPr>
        <w:t>ce</w:t>
      </w:r>
      <w:r w:rsidRPr="00BA3EC0">
        <w:rPr>
          <w:rFonts w:eastAsia="Times New Roman"/>
          <w:sz w:val="20"/>
          <w:szCs w:val="20"/>
        </w:rPr>
        <w:t>rt</w:t>
      </w:r>
      <w:r w:rsidRPr="00BA3EC0">
        <w:rPr>
          <w:rFonts w:eastAsia="Times New Roman"/>
          <w:spacing w:val="-1"/>
          <w:sz w:val="20"/>
          <w:szCs w:val="20"/>
        </w:rPr>
        <w:t>a</w:t>
      </w:r>
      <w:r w:rsidRPr="00BA3EC0">
        <w:rPr>
          <w:rFonts w:eastAsia="Times New Roman"/>
          <w:sz w:val="20"/>
          <w:szCs w:val="20"/>
        </w:rPr>
        <w:t>in</w:t>
      </w:r>
      <w:r w:rsidRPr="00BA3EC0">
        <w:rPr>
          <w:rFonts w:eastAsia="Times New Roman"/>
          <w:spacing w:val="1"/>
          <w:sz w:val="20"/>
          <w:szCs w:val="20"/>
        </w:rPr>
        <w:t xml:space="preserve"> d</w:t>
      </w:r>
      <w:r w:rsidRPr="00BA3EC0">
        <w:rPr>
          <w:rFonts w:eastAsia="Times New Roman"/>
          <w:spacing w:val="-1"/>
          <w:sz w:val="20"/>
          <w:szCs w:val="20"/>
        </w:rPr>
        <w:t>ec</w:t>
      </w:r>
      <w:r w:rsidRPr="00BA3EC0">
        <w:rPr>
          <w:rFonts w:eastAsia="Times New Roman"/>
          <w:sz w:val="20"/>
          <w:szCs w:val="20"/>
        </w:rPr>
        <w:t>i</w:t>
      </w:r>
      <w:r w:rsidRPr="00BA3EC0">
        <w:rPr>
          <w:rFonts w:eastAsia="Times New Roman"/>
          <w:spacing w:val="-1"/>
          <w:sz w:val="20"/>
          <w:szCs w:val="20"/>
        </w:rPr>
        <w:t>s</w:t>
      </w:r>
      <w:r w:rsidRPr="00BA3EC0">
        <w:rPr>
          <w:rFonts w:eastAsia="Times New Roman"/>
          <w:spacing w:val="-2"/>
          <w:sz w:val="20"/>
          <w:szCs w:val="20"/>
        </w:rPr>
        <w:t>i</w:t>
      </w:r>
      <w:r w:rsidRPr="00BA3EC0">
        <w:rPr>
          <w:rFonts w:eastAsia="Times New Roman"/>
          <w:spacing w:val="1"/>
          <w:sz w:val="20"/>
          <w:szCs w:val="20"/>
        </w:rPr>
        <w:t>on</w:t>
      </w:r>
      <w:r w:rsidRPr="00BA3EC0">
        <w:rPr>
          <w:rFonts w:eastAsia="Times New Roman"/>
          <w:spacing w:val="-1"/>
          <w:sz w:val="20"/>
          <w:szCs w:val="20"/>
        </w:rPr>
        <w:t>s</w:t>
      </w:r>
      <w:r w:rsidRPr="00BA3EC0">
        <w:rPr>
          <w:rFonts w:eastAsia="Times New Roman"/>
          <w:spacing w:val="-2"/>
          <w:sz w:val="20"/>
          <w:szCs w:val="20"/>
        </w:rPr>
        <w:t>.</w:t>
      </w:r>
      <w:r w:rsidRPr="00BA3EC0">
        <w:rPr>
          <w:rFonts w:eastAsia="Times New Roman"/>
          <w:sz w:val="20"/>
          <w:szCs w:val="20"/>
        </w:rPr>
        <w:t>”</w:t>
      </w:r>
    </w:p>
  </w:footnote>
  <w:footnote w:id="15">
    <w:p w:rsidR="00AC7101" w:rsidRDefault="00AC7101" w:rsidP="00D27FB6">
      <w:pPr>
        <w:pStyle w:val="FootnoteText"/>
        <w:jc w:val="both"/>
      </w:pPr>
      <w:r>
        <w:rPr>
          <w:rStyle w:val="FootnoteReference"/>
        </w:rPr>
        <w:footnoteRef/>
      </w:r>
      <w:r>
        <w:t xml:space="preserve"> </w:t>
      </w:r>
      <w:r w:rsidRPr="00943FC0">
        <w:t xml:space="preserve">Anderson and </w:t>
      </w:r>
      <w:proofErr w:type="spellStart"/>
      <w:r w:rsidRPr="00943FC0">
        <w:t>Reeb</w:t>
      </w:r>
      <w:proofErr w:type="spellEnd"/>
      <w:r w:rsidRPr="00943FC0">
        <w:t xml:space="preserve"> (2003)</w:t>
      </w:r>
      <w:r>
        <w:t xml:space="preserve">, followed by others in the literature, </w:t>
      </w:r>
      <w:r w:rsidRPr="00943FC0">
        <w:t>define</w:t>
      </w:r>
      <w:r>
        <w:t xml:space="preserve"> a firm</w:t>
      </w:r>
      <w:r w:rsidRPr="00943FC0">
        <w:t xml:space="preserve"> as a family firm if the founder or descendants of the founder remain as one of the largest shareholders and sits on the board of directors, or hold top management positions.</w:t>
      </w:r>
      <w:r>
        <w:t xml:space="preserve"> </w:t>
      </w:r>
    </w:p>
  </w:footnote>
  <w:footnote w:id="16">
    <w:p w:rsidR="00AC7101" w:rsidRDefault="00AC7101" w:rsidP="00B82F68">
      <w:pPr>
        <w:pStyle w:val="FootnoteText"/>
        <w:keepLines/>
        <w:widowControl/>
        <w:jc w:val="both"/>
      </w:pPr>
      <w:r>
        <w:rPr>
          <w:rStyle w:val="FootnoteReference"/>
        </w:rPr>
        <w:footnoteRef/>
      </w:r>
      <w:r>
        <w:t xml:space="preserve"> </w:t>
      </w:r>
      <w:r w:rsidRPr="001272BC">
        <w:t xml:space="preserve">The </w:t>
      </w:r>
      <w:proofErr w:type="spellStart"/>
      <w:r w:rsidRPr="001272BC">
        <w:t>Blockholder</w:t>
      </w:r>
      <w:proofErr w:type="spellEnd"/>
      <w:r w:rsidRPr="001272BC">
        <w:t xml:space="preserve"> variable is subject to considerable measurement error. Firms are required to report on the</w:t>
      </w:r>
      <w:r>
        <w:t xml:space="preserve"> DEF</w:t>
      </w:r>
      <w:r w:rsidRPr="001272BC">
        <w:t xml:space="preserve"> 14A the percentage owned by each investor </w:t>
      </w:r>
      <w:r>
        <w:t>only if the investor holds</w:t>
      </w:r>
      <w:r w:rsidRPr="001272BC">
        <w:t xml:space="preserve"> more than 5 percent of the firm’s stock.</w:t>
      </w:r>
      <w:r>
        <w:t xml:space="preserve"> </w:t>
      </w:r>
      <w:r w:rsidRPr="001272BC">
        <w:t>It is not uncommon to find a firm reporting, say, 5.1 percent ownership by Vanguard in 2007 and 2009 but nothing in 2008. It is likely that institutional ownership fluctuated by only a fraction of one percent but the reporting rule makes it appear as a swing of over 5 percent.</w:t>
      </w:r>
      <w:r>
        <w:t xml:space="preserve"> </w:t>
      </w:r>
      <w:r w:rsidRPr="001272BC">
        <w:t xml:space="preserve">Even this observation masks the degree of the issue. Using Cigna (CI) as an example, at year-end </w:t>
      </w:r>
      <w:proofErr w:type="gramStart"/>
      <w:r w:rsidRPr="001272BC">
        <w:t>2014</w:t>
      </w:r>
      <w:proofErr w:type="gramEnd"/>
      <w:r w:rsidRPr="001272BC">
        <w:t xml:space="preserve"> three </w:t>
      </w:r>
      <w:proofErr w:type="spellStart"/>
      <w:r w:rsidRPr="001272BC">
        <w:t>Blockholders</w:t>
      </w:r>
      <w:proofErr w:type="spellEnd"/>
      <w:r w:rsidRPr="001272BC">
        <w:t xml:space="preserve"> were reported as beneficially owning 5 or more percent of the firm (T. Rowe Price, 5.92%; Vanguard, 5.61%; and Dodge-Cox, 5.00%) yet Yahoo Finance reports that “Institutional Investors and Mutual Funds” own 89 percent of Cigna stock.</w:t>
      </w:r>
      <w:r>
        <w:t xml:space="preserve"> </w:t>
      </w:r>
      <w:r w:rsidRPr="001272BC">
        <w:t>They also report the number of institutions holding shares as 821 – information that is not available to us for the historical data.</w:t>
      </w:r>
      <w:r>
        <w:t xml:space="preserve"> Thus, </w:t>
      </w:r>
      <w:proofErr w:type="spellStart"/>
      <w:r>
        <w:rPr>
          <w:i/>
        </w:rPr>
        <w:t>Blockholder</w:t>
      </w:r>
      <w:proofErr w:type="spellEnd"/>
      <w:r>
        <w:t xml:space="preserve"> may be more accurately described as ownership by “significant” </w:t>
      </w:r>
      <w:proofErr w:type="spellStart"/>
      <w:r>
        <w:t>blockholders</w:t>
      </w:r>
      <w:proofErr w:type="spellEnd"/>
      <w:r>
        <w:t>.</w:t>
      </w:r>
    </w:p>
  </w:footnote>
  <w:footnote w:id="17">
    <w:p w:rsidR="00AC7101" w:rsidRDefault="00AC7101" w:rsidP="00B82F68">
      <w:pPr>
        <w:pStyle w:val="FootnoteText"/>
        <w:jc w:val="both"/>
      </w:pPr>
      <w:r>
        <w:rPr>
          <w:rStyle w:val="FootnoteReference"/>
        </w:rPr>
        <w:footnoteRef/>
      </w:r>
      <w:r>
        <w:t xml:space="preserve"> We also employ the Blackrock dummy variable because Blackrock has an ownership stake in a large portion of our sample. In 2014, Blackrock has a 5% or greater ownership stake in 65.5% of the firms in our sample.</w:t>
      </w:r>
    </w:p>
  </w:footnote>
  <w:footnote w:id="18">
    <w:p w:rsidR="00AC7101" w:rsidRDefault="00AC7101" w:rsidP="00CD4A2D">
      <w:pPr>
        <w:pStyle w:val="FootnoteText"/>
      </w:pPr>
      <w:r>
        <w:rPr>
          <w:rStyle w:val="FootnoteReference"/>
        </w:rPr>
        <w:footnoteRef/>
      </w:r>
      <w:r>
        <w:t xml:space="preserve"> </w:t>
      </w:r>
      <w:proofErr w:type="gramStart"/>
      <w:r>
        <w:t xml:space="preserve">Stealth socialism, </w:t>
      </w:r>
      <w:r w:rsidRPr="00C6663A">
        <w:rPr>
          <w:i/>
        </w:rPr>
        <w:t>The Economist</w:t>
      </w:r>
      <w:r>
        <w:t>, 11/9/2016.</w:t>
      </w:r>
      <w:proofErr w:type="gramEnd"/>
    </w:p>
  </w:footnote>
  <w:footnote w:id="19">
    <w:p w:rsidR="00AC7101" w:rsidRDefault="00AC7101" w:rsidP="00173B35">
      <w:pPr>
        <w:pStyle w:val="FootnoteText"/>
        <w:jc w:val="both"/>
      </w:pPr>
      <w:r>
        <w:rPr>
          <w:rStyle w:val="FootnoteReference"/>
        </w:rPr>
        <w:footnoteRef/>
      </w:r>
      <w:r>
        <w:t xml:space="preserve"> Total current compensation is equal to total compensation minus restricted stock and option grants. We use this measure of compensation in order to reduce </w:t>
      </w:r>
      <w:proofErr w:type="spellStart"/>
      <w:r>
        <w:t>collinearity</w:t>
      </w:r>
      <w:proofErr w:type="spellEnd"/>
      <w:r>
        <w:t xml:space="preserve"> in the model between total compensation and forward compensation. The correlation between total compensation and the forward compensation percent is 42% while the correlation between current compensation and forward compensation percent is 2%.</w:t>
      </w:r>
    </w:p>
  </w:footnote>
  <w:footnote w:id="20">
    <w:p w:rsidR="00AC7101" w:rsidRDefault="00AC7101" w:rsidP="00FE7ECB">
      <w:pPr>
        <w:pStyle w:val="FootnoteText"/>
        <w:jc w:val="both"/>
      </w:pPr>
      <w:r w:rsidRPr="00567CDE">
        <w:rPr>
          <w:rStyle w:val="FootnoteReference"/>
        </w:rPr>
        <w:footnoteRef/>
      </w:r>
      <w:r w:rsidRPr="00567CDE">
        <w:rPr>
          <w:spacing w:val="-1"/>
        </w:rPr>
        <w:t xml:space="preserve"> </w:t>
      </w:r>
      <w:r w:rsidRPr="00567CDE">
        <w:t>C</w:t>
      </w:r>
      <w:r w:rsidRPr="00567CDE">
        <w:rPr>
          <w:spacing w:val="-2"/>
        </w:rPr>
        <w:t>o</w:t>
      </w:r>
      <w:r w:rsidRPr="00567CDE">
        <w:rPr>
          <w:spacing w:val="-4"/>
        </w:rPr>
        <w:t>m</w:t>
      </w:r>
      <w:r w:rsidRPr="00567CDE">
        <w:rPr>
          <w:spacing w:val="1"/>
        </w:rPr>
        <w:t>p</w:t>
      </w:r>
      <w:r w:rsidRPr="00567CDE">
        <w:rPr>
          <w:spacing w:val="-1"/>
        </w:rPr>
        <w:t>a</w:t>
      </w:r>
      <w:r w:rsidRPr="00567CDE">
        <w:rPr>
          <w:spacing w:val="1"/>
        </w:rPr>
        <w:t>n</w:t>
      </w:r>
      <w:r w:rsidRPr="00567CDE">
        <w:t>i</w:t>
      </w:r>
      <w:r w:rsidRPr="00567CDE">
        <w:rPr>
          <w:spacing w:val="-1"/>
        </w:rPr>
        <w:t>e</w:t>
      </w:r>
      <w:r w:rsidRPr="00567CDE">
        <w:t>s</w:t>
      </w:r>
      <w:r w:rsidRPr="00567CDE">
        <w:rPr>
          <w:spacing w:val="17"/>
        </w:rPr>
        <w:t xml:space="preserve"> </w:t>
      </w:r>
      <w:r w:rsidRPr="00567CDE">
        <w:rPr>
          <w:spacing w:val="-3"/>
        </w:rPr>
        <w:t>w</w:t>
      </w:r>
      <w:r w:rsidRPr="00567CDE">
        <w:t>ith</w:t>
      </w:r>
      <w:r w:rsidRPr="00567CDE">
        <w:rPr>
          <w:spacing w:val="16"/>
        </w:rPr>
        <w:t xml:space="preserve"> </w:t>
      </w:r>
      <w:r w:rsidRPr="00567CDE">
        <w:rPr>
          <w:spacing w:val="1"/>
        </w:rPr>
        <w:t>h</w:t>
      </w:r>
      <w:r w:rsidRPr="00567CDE">
        <w:t>i</w:t>
      </w:r>
      <w:r w:rsidRPr="00567CDE">
        <w:rPr>
          <w:spacing w:val="-2"/>
        </w:rPr>
        <w:t>g</w:t>
      </w:r>
      <w:r w:rsidRPr="00567CDE">
        <w:t>h</w:t>
      </w:r>
      <w:r w:rsidRPr="00567CDE">
        <w:rPr>
          <w:spacing w:val="13"/>
        </w:rPr>
        <w:t xml:space="preserve"> </w:t>
      </w:r>
      <w:r w:rsidRPr="00567CDE">
        <w:rPr>
          <w:spacing w:val="1"/>
        </w:rPr>
        <w:t>d</w:t>
      </w:r>
      <w:r w:rsidRPr="00567CDE">
        <w:rPr>
          <w:spacing w:val="-1"/>
        </w:rPr>
        <w:t>e</w:t>
      </w:r>
      <w:r w:rsidRPr="00567CDE">
        <w:rPr>
          <w:spacing w:val="1"/>
        </w:rPr>
        <w:t>b</w:t>
      </w:r>
      <w:r w:rsidRPr="00567CDE">
        <w:rPr>
          <w:spacing w:val="-2"/>
        </w:rPr>
        <w:t>t</w:t>
      </w:r>
      <w:r w:rsidRPr="00567CDE">
        <w:t>/</w:t>
      </w:r>
      <w:r w:rsidRPr="00567CDE">
        <w:rPr>
          <w:spacing w:val="-1"/>
        </w:rPr>
        <w:t xml:space="preserve">asset </w:t>
      </w:r>
      <w:r w:rsidRPr="00567CDE">
        <w:t>r</w:t>
      </w:r>
      <w:r w:rsidRPr="00567CDE">
        <w:rPr>
          <w:spacing w:val="-1"/>
        </w:rPr>
        <w:t>a</w:t>
      </w:r>
      <w:r w:rsidRPr="00567CDE">
        <w:t>ti</w:t>
      </w:r>
      <w:r w:rsidRPr="00567CDE">
        <w:rPr>
          <w:spacing w:val="1"/>
        </w:rPr>
        <w:t>o</w:t>
      </w:r>
      <w:r w:rsidRPr="00567CDE">
        <w:t xml:space="preserve">s </w:t>
      </w:r>
      <w:r w:rsidRPr="00567CDE">
        <w:rPr>
          <w:spacing w:val="-1"/>
        </w:rPr>
        <w:t>a</w:t>
      </w:r>
      <w:r w:rsidRPr="00567CDE">
        <w:t>re</w:t>
      </w:r>
      <w:r w:rsidRPr="00567CDE">
        <w:rPr>
          <w:spacing w:val="-1"/>
        </w:rPr>
        <w:t xml:space="preserve"> sa</w:t>
      </w:r>
      <w:r w:rsidRPr="00567CDE">
        <w:t>id</w:t>
      </w:r>
      <w:r w:rsidRPr="00567CDE">
        <w:rPr>
          <w:spacing w:val="1"/>
        </w:rPr>
        <w:t xml:space="preserve"> </w:t>
      </w:r>
      <w:r w:rsidRPr="00567CDE">
        <w:t>to</w:t>
      </w:r>
      <w:r w:rsidRPr="00567CDE">
        <w:rPr>
          <w:spacing w:val="-1"/>
        </w:rPr>
        <w:t xml:space="preserve"> </w:t>
      </w:r>
      <w:r w:rsidRPr="00567CDE">
        <w:rPr>
          <w:spacing w:val="1"/>
        </w:rPr>
        <w:t>b</w:t>
      </w:r>
      <w:r w:rsidRPr="00567CDE">
        <w:t>e</w:t>
      </w:r>
      <w:r w:rsidRPr="00567CDE">
        <w:rPr>
          <w:spacing w:val="-3"/>
        </w:rPr>
        <w:t xml:space="preserve"> </w:t>
      </w:r>
      <w:r w:rsidRPr="00567CDE">
        <w:rPr>
          <w:spacing w:val="1"/>
        </w:rPr>
        <w:t>h</w:t>
      </w:r>
      <w:r w:rsidRPr="00567CDE">
        <w:t>i</w:t>
      </w:r>
      <w:r w:rsidRPr="00567CDE">
        <w:rPr>
          <w:spacing w:val="-2"/>
        </w:rPr>
        <w:t>g</w:t>
      </w:r>
      <w:r w:rsidRPr="00567CDE">
        <w:rPr>
          <w:spacing w:val="1"/>
        </w:rPr>
        <w:t>h</w:t>
      </w:r>
      <w:r w:rsidRPr="00567CDE">
        <w:t>ly</w:t>
      </w:r>
      <w:r w:rsidRPr="00567CDE">
        <w:rPr>
          <w:spacing w:val="-4"/>
        </w:rPr>
        <w:t xml:space="preserve"> </w:t>
      </w:r>
      <w:r w:rsidRPr="00567CDE">
        <w:t>l</w:t>
      </w:r>
      <w:r w:rsidRPr="00567CDE">
        <w:rPr>
          <w:spacing w:val="-1"/>
        </w:rPr>
        <w:t>e</w:t>
      </w:r>
      <w:r w:rsidRPr="00567CDE">
        <w:rPr>
          <w:spacing w:val="-2"/>
        </w:rPr>
        <w:t>v</w:t>
      </w:r>
      <w:r w:rsidRPr="00567CDE">
        <w:rPr>
          <w:spacing w:val="-1"/>
        </w:rPr>
        <w:t>e</w:t>
      </w:r>
      <w:r w:rsidRPr="00567CDE">
        <w:rPr>
          <w:spacing w:val="2"/>
        </w:rPr>
        <w:t>r</w:t>
      </w:r>
      <w:r w:rsidRPr="00567CDE">
        <w:rPr>
          <w:spacing w:val="1"/>
        </w:rPr>
        <w:t>a</w:t>
      </w:r>
      <w:r w:rsidRPr="00567CDE">
        <w:rPr>
          <w:spacing w:val="-2"/>
        </w:rPr>
        <w:t>g</w:t>
      </w:r>
      <w:r w:rsidRPr="00567CDE">
        <w:rPr>
          <w:spacing w:val="-1"/>
        </w:rPr>
        <w:t>e</w:t>
      </w:r>
      <w:r w:rsidRPr="00567CDE">
        <w:rPr>
          <w:spacing w:val="1"/>
        </w:rPr>
        <w:t>d</w:t>
      </w:r>
      <w:r>
        <w:rPr>
          <w:spacing w:val="1"/>
        </w:rPr>
        <w:t>; h</w:t>
      </w:r>
      <w:r w:rsidRPr="00567CDE">
        <w:t>i</w:t>
      </w:r>
      <w:r w:rsidRPr="00567CDE">
        <w:rPr>
          <w:spacing w:val="-2"/>
        </w:rPr>
        <w:t>g</w:t>
      </w:r>
      <w:r w:rsidRPr="00567CDE">
        <w:rPr>
          <w:spacing w:val="1"/>
        </w:rPr>
        <w:t>h</w:t>
      </w:r>
      <w:r w:rsidRPr="00567CDE">
        <w:rPr>
          <w:spacing w:val="-1"/>
        </w:rPr>
        <w:t>e</w:t>
      </w:r>
      <w:r w:rsidRPr="00567CDE">
        <w:t>r r</w:t>
      </w:r>
      <w:r w:rsidRPr="00567CDE">
        <w:rPr>
          <w:spacing w:val="-1"/>
        </w:rPr>
        <w:t>a</w:t>
      </w:r>
      <w:r w:rsidRPr="00567CDE">
        <w:t>tio</w:t>
      </w:r>
      <w:r w:rsidRPr="00567CDE">
        <w:rPr>
          <w:spacing w:val="1"/>
        </w:rPr>
        <w:t xml:space="preserve"> </w:t>
      </w:r>
      <w:r w:rsidRPr="00567CDE">
        <w:rPr>
          <w:spacing w:val="-2"/>
        </w:rPr>
        <w:t>v</w:t>
      </w:r>
      <w:r w:rsidRPr="00567CDE">
        <w:rPr>
          <w:spacing w:val="-1"/>
        </w:rPr>
        <w:t>a</w:t>
      </w:r>
      <w:r w:rsidRPr="00567CDE">
        <w:t>l</w:t>
      </w:r>
      <w:r w:rsidRPr="00567CDE">
        <w:rPr>
          <w:spacing w:val="1"/>
        </w:rPr>
        <w:t>u</w:t>
      </w:r>
      <w:r w:rsidRPr="00567CDE">
        <w:rPr>
          <w:spacing w:val="-1"/>
        </w:rPr>
        <w:t>e</w:t>
      </w:r>
      <w:r w:rsidRPr="00567CDE">
        <w:t xml:space="preserve">s </w:t>
      </w:r>
      <w:r w:rsidRPr="00567CDE">
        <w:rPr>
          <w:spacing w:val="2"/>
        </w:rPr>
        <w:t>i</w:t>
      </w:r>
      <w:r w:rsidRPr="00567CDE">
        <w:rPr>
          <w:spacing w:val="-4"/>
        </w:rPr>
        <w:t>m</w:t>
      </w:r>
      <w:r w:rsidRPr="00567CDE">
        <w:rPr>
          <w:spacing w:val="1"/>
        </w:rPr>
        <w:t>p</w:t>
      </w:r>
      <w:r w:rsidRPr="00567CDE">
        <w:rPr>
          <w:spacing w:val="2"/>
        </w:rPr>
        <w:t>l</w:t>
      </w:r>
      <w:r w:rsidRPr="00567CDE">
        <w:t>y</w:t>
      </w:r>
      <w:r w:rsidRPr="00567CDE">
        <w:rPr>
          <w:spacing w:val="-4"/>
        </w:rPr>
        <w:t xml:space="preserve"> </w:t>
      </w:r>
      <w:r w:rsidRPr="00567CDE">
        <w:rPr>
          <w:spacing w:val="1"/>
        </w:rPr>
        <w:t>h</w:t>
      </w:r>
      <w:r w:rsidRPr="00567CDE">
        <w:t>i</w:t>
      </w:r>
      <w:r w:rsidRPr="00567CDE">
        <w:rPr>
          <w:spacing w:val="-2"/>
        </w:rPr>
        <w:t>g</w:t>
      </w:r>
      <w:r w:rsidRPr="00567CDE">
        <w:rPr>
          <w:spacing w:val="1"/>
        </w:rPr>
        <w:t>h</w:t>
      </w:r>
      <w:r w:rsidRPr="00567CDE">
        <w:rPr>
          <w:spacing w:val="-1"/>
        </w:rPr>
        <w:t>e</w:t>
      </w:r>
      <w:r w:rsidRPr="00567CDE">
        <w:t>r</w:t>
      </w:r>
      <w:r w:rsidRPr="00567CDE">
        <w:rPr>
          <w:spacing w:val="3"/>
        </w:rPr>
        <w:t xml:space="preserve"> </w:t>
      </w:r>
      <w:r w:rsidRPr="00567CDE">
        <w:rPr>
          <w:spacing w:val="1"/>
        </w:rPr>
        <w:t>op</w:t>
      </w:r>
      <w:r w:rsidRPr="00567CDE">
        <w:rPr>
          <w:spacing w:val="-1"/>
        </w:rPr>
        <w:t>e</w:t>
      </w:r>
      <w:r w:rsidRPr="00567CDE">
        <w:t>r</w:t>
      </w:r>
      <w:r w:rsidRPr="00567CDE">
        <w:rPr>
          <w:spacing w:val="-1"/>
        </w:rPr>
        <w:t>a</w:t>
      </w:r>
      <w:r w:rsidRPr="00567CDE">
        <w:t>ti</w:t>
      </w:r>
      <w:r w:rsidRPr="00567CDE">
        <w:rPr>
          <w:spacing w:val="-2"/>
        </w:rPr>
        <w:t>o</w:t>
      </w:r>
      <w:r w:rsidRPr="00567CDE">
        <w:rPr>
          <w:spacing w:val="1"/>
        </w:rPr>
        <w:t>n</w:t>
      </w:r>
      <w:r w:rsidRPr="00567CDE">
        <w:rPr>
          <w:spacing w:val="-1"/>
        </w:rPr>
        <w:t>a</w:t>
      </w:r>
      <w:r w:rsidRPr="00567CDE">
        <w:t>l ri</w:t>
      </w:r>
      <w:r w:rsidRPr="00567CDE">
        <w:rPr>
          <w:spacing w:val="-1"/>
        </w:rPr>
        <w:t>s</w:t>
      </w:r>
      <w:r w:rsidRPr="00567CDE">
        <w:rPr>
          <w:spacing w:val="-2"/>
        </w:rPr>
        <w:t>k</w:t>
      </w:r>
      <w:r w:rsidRPr="00567CDE">
        <w:t>.</w:t>
      </w:r>
      <w:r w:rsidRPr="00567CDE">
        <w:rPr>
          <w:spacing w:val="1"/>
        </w:rPr>
        <w:t xml:space="preserve"> </w:t>
      </w:r>
    </w:p>
  </w:footnote>
  <w:footnote w:id="21">
    <w:p w:rsidR="00AC7101" w:rsidRDefault="00AC7101" w:rsidP="001C5112">
      <w:pPr>
        <w:pStyle w:val="FootnoteText"/>
        <w:jc w:val="both"/>
      </w:pPr>
      <w:r>
        <w:rPr>
          <w:rStyle w:val="FootnoteReference"/>
        </w:rPr>
        <w:footnoteRef/>
      </w:r>
      <w:r>
        <w:t xml:space="preserve"> These values were selected by comparing the distribution of the liquidity variable to the distribution of a standard Normal plot. The liquidity variable diverged at these cutoff points indicating deviation in the variable’s distribution from an expected Normal distribution.</w:t>
      </w:r>
    </w:p>
  </w:footnote>
  <w:footnote w:id="22">
    <w:p w:rsidR="00AC7101" w:rsidRDefault="00AC7101">
      <w:pPr>
        <w:pStyle w:val="FootnoteText"/>
      </w:pPr>
      <w:r>
        <w:rPr>
          <w:rStyle w:val="FootnoteReference"/>
        </w:rPr>
        <w:footnoteRef/>
      </w:r>
      <w:r>
        <w:t xml:space="preserve"> Furthermore, the mean value of cash flows can be very close to zero – especially when offset by both positive and negative cash flows in a reporting year. A mean value very near zero inflates the coefficient of variation value leading to statistical problems. We therefore enact a simple modification to the variable and define the CV as (std. dev. of cash flow + 1) / (mean cash flows + 1).</w:t>
      </w:r>
    </w:p>
  </w:footnote>
  <w:footnote w:id="23">
    <w:p w:rsidR="00AC7101" w:rsidRDefault="00AC7101" w:rsidP="00B82F68">
      <w:pPr>
        <w:pStyle w:val="FootnoteText"/>
        <w:jc w:val="both"/>
      </w:pPr>
      <w:r>
        <w:rPr>
          <w:rStyle w:val="FootnoteReference"/>
        </w:rPr>
        <w:footnoteRef/>
      </w:r>
      <w:r>
        <w:t xml:space="preserve"> Prior measures of diversification include the </w:t>
      </w:r>
      <w:proofErr w:type="spellStart"/>
      <w:r>
        <w:t>Herfindahl</w:t>
      </w:r>
      <w:proofErr w:type="spellEnd"/>
      <w:r>
        <w:t xml:space="preserve">-Hirschman Index (HHI), number of business segments, and a dummy variable for diversified (or focused) firms. We collect segment revenue and asset data from firm 10-K filings. However, segment data in the 10-K is self-reported and non-standardized. In many cases, one firm will change its number of reported segments year-to-year with no substantial changes in operations. Due to these inconsistencies, we do not believe that the HHI or </w:t>
      </w:r>
      <w:proofErr w:type="gramStart"/>
      <w:r>
        <w:t>a segment count are</w:t>
      </w:r>
      <w:proofErr w:type="gramEnd"/>
      <w:r>
        <w:t xml:space="preserve"> appropriate measures of diversification or focus.</w:t>
      </w:r>
    </w:p>
  </w:footnote>
  <w:footnote w:id="24">
    <w:p w:rsidR="00AC7101" w:rsidRDefault="00AC7101" w:rsidP="00CE3EC0">
      <w:pPr>
        <w:pStyle w:val="FootnoteText"/>
        <w:jc w:val="both"/>
      </w:pPr>
      <w:r>
        <w:rPr>
          <w:rStyle w:val="FootnoteReference"/>
        </w:rPr>
        <w:footnoteRef/>
      </w:r>
      <w:r>
        <w:t xml:space="preserve"> Kennedy (2008) and Wooldridge (2013) suggest a cutoff of 10 to identify troublesome VIFs. The highest VIF in our study is 2.95. </w:t>
      </w:r>
    </w:p>
  </w:footnote>
  <w:footnote w:id="25">
    <w:p w:rsidR="00AC7101" w:rsidRDefault="00AC7101">
      <w:pPr>
        <w:pStyle w:val="FootnoteText"/>
      </w:pPr>
      <w:r>
        <w:rPr>
          <w:rStyle w:val="FootnoteReference"/>
        </w:rPr>
        <w:footnoteRef/>
      </w:r>
      <w:r>
        <w:t xml:space="preserve"> According to our coefficient estimates, Family firms without Duality have a Tobin’s </w:t>
      </w:r>
      <w:r w:rsidRPr="00EB01D8">
        <w:rPr>
          <w:i/>
        </w:rPr>
        <w:t>q</w:t>
      </w:r>
      <w:r>
        <w:t xml:space="preserve"> 25% higher than the base model. Family firms with duality have a Tobin’s </w:t>
      </w:r>
      <w:r w:rsidRPr="00EB01D8">
        <w:rPr>
          <w:i/>
        </w:rPr>
        <w:t>q</w:t>
      </w:r>
      <w:r>
        <w:t xml:space="preserve"> 16.5% higher than the base model.</w:t>
      </w:r>
    </w:p>
  </w:footnote>
  <w:footnote w:id="26">
    <w:p w:rsidR="00AC7101" w:rsidRDefault="00AC7101" w:rsidP="00EB01D8">
      <w:pPr>
        <w:pStyle w:val="FootnoteText"/>
        <w:jc w:val="both"/>
      </w:pPr>
      <w:r>
        <w:rPr>
          <w:rStyle w:val="FootnoteReference"/>
        </w:rPr>
        <w:footnoteRef/>
      </w:r>
      <w:r>
        <w:t xml:space="preserve"> We include both ROE and ROA. ROE is a performance metric relevant to a firm’s shareholders. ROA is commonly used to measure performance in the insurance industry for mutual and private-stock firms. Both measures are based on one-year income and therefore not as forward-looking as Tobin’s </w:t>
      </w:r>
      <w:r w:rsidRPr="00891E36">
        <w:rPr>
          <w:i/>
        </w:rPr>
        <w:t>q</w:t>
      </w:r>
      <w:r>
        <w:t>.</w:t>
      </w:r>
    </w:p>
  </w:footnote>
  <w:footnote w:id="27">
    <w:p w:rsidR="00AC7101" w:rsidRDefault="00AC7101">
      <w:pPr>
        <w:pStyle w:val="FootnoteText"/>
      </w:pPr>
      <w:r>
        <w:rPr>
          <w:rStyle w:val="FootnoteReference"/>
        </w:rPr>
        <w:footnoteRef/>
      </w:r>
      <w:r>
        <w:t xml:space="preserve"> This finding is supported by the insignificant </w:t>
      </w:r>
      <w:proofErr w:type="spellStart"/>
      <w:r>
        <w:t>univariate</w:t>
      </w:r>
      <w:proofErr w:type="spellEnd"/>
      <w:r>
        <w:t xml:space="preserve"> performance difference between family and non-family firms in Table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6AD"/>
    <w:multiLevelType w:val="hybridMultilevel"/>
    <w:tmpl w:val="99E46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642713"/>
    <w:multiLevelType w:val="hybridMultilevel"/>
    <w:tmpl w:val="BD6A0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620516"/>
    <w:multiLevelType w:val="hybridMultilevel"/>
    <w:tmpl w:val="742C4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D762C"/>
    <w:multiLevelType w:val="hybridMultilevel"/>
    <w:tmpl w:val="73C82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0176DB"/>
    <w:multiLevelType w:val="hybridMultilevel"/>
    <w:tmpl w:val="5F3CEF5E"/>
    <w:lvl w:ilvl="0" w:tplc="339A0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E55FB"/>
    <w:multiLevelType w:val="hybridMultilevel"/>
    <w:tmpl w:val="7512C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356F01"/>
    <w:multiLevelType w:val="multilevel"/>
    <w:tmpl w:val="99BC4904"/>
    <w:lvl w:ilvl="0">
      <w:start w:val="1"/>
      <w:numFmt w:val="decimal"/>
      <w:lvlText w:val="%1"/>
      <w:lvlJc w:val="left"/>
      <w:pPr>
        <w:tabs>
          <w:tab w:val="num" w:pos="576"/>
        </w:tabs>
        <w:ind w:left="576" w:hanging="432"/>
      </w:pPr>
      <w:rPr>
        <w:rFonts w:ascii="Times New Roman" w:hAnsi="Times New Roman" w:cs="Times New Roman"/>
      </w:rPr>
    </w:lvl>
    <w:lvl w:ilvl="1">
      <w:start w:val="1"/>
      <w:numFmt w:val="decimal"/>
      <w:lvlText w:val="%1.%2"/>
      <w:lvlJc w:val="left"/>
      <w:pPr>
        <w:tabs>
          <w:tab w:val="num" w:pos="720"/>
        </w:tabs>
        <w:ind w:left="720" w:hanging="576"/>
      </w:pPr>
      <w:rPr>
        <w:rFonts w:ascii="Times New Roman" w:hAnsi="Times New Roman" w:cs="Times New Roman" w:hint="default"/>
      </w:rPr>
    </w:lvl>
    <w:lvl w:ilvl="2">
      <w:start w:val="1"/>
      <w:numFmt w:val="decimal"/>
      <w:lvlText w:val="%1.%2.%3"/>
      <w:lvlJc w:val="left"/>
      <w:pPr>
        <w:tabs>
          <w:tab w:val="num" w:pos="864"/>
        </w:tabs>
        <w:ind w:left="864" w:hanging="720"/>
      </w:pPr>
      <w:rPr>
        <w:rFonts w:ascii="Times New Roman" w:hAnsi="Times New Roman" w:cs="Times New Roman"/>
      </w:rPr>
    </w:lvl>
    <w:lvl w:ilvl="3">
      <w:start w:val="1"/>
      <w:numFmt w:val="decimal"/>
      <w:lvlText w:val="%1.%2.%3.%4"/>
      <w:lvlJc w:val="left"/>
      <w:pPr>
        <w:tabs>
          <w:tab w:val="num" w:pos="1008"/>
        </w:tabs>
        <w:ind w:left="1008" w:hanging="864"/>
      </w:pPr>
      <w:rPr>
        <w:rFonts w:ascii="Times New Roman" w:hAnsi="Times New Roman" w:cs="Times New Roman"/>
      </w:rPr>
    </w:lvl>
    <w:lvl w:ilvl="4">
      <w:start w:val="1"/>
      <w:numFmt w:val="decimal"/>
      <w:lvlText w:val="%1.%2.%3.%4.%5"/>
      <w:lvlJc w:val="left"/>
      <w:pPr>
        <w:tabs>
          <w:tab w:val="num" w:pos="1152"/>
        </w:tabs>
        <w:ind w:left="1152" w:hanging="1008"/>
      </w:pPr>
      <w:rPr>
        <w:rFonts w:ascii="Times New Roman" w:hAnsi="Times New Roman" w:cs="Times New Roman"/>
      </w:rPr>
    </w:lvl>
    <w:lvl w:ilvl="5">
      <w:start w:val="1"/>
      <w:numFmt w:val="decimal"/>
      <w:lvlText w:val="%1.%2.%3.%4.%5.%6"/>
      <w:lvlJc w:val="left"/>
      <w:pPr>
        <w:tabs>
          <w:tab w:val="num" w:pos="1296"/>
        </w:tabs>
        <w:ind w:left="1296" w:hanging="1152"/>
      </w:pPr>
      <w:rPr>
        <w:rFonts w:ascii="Times New Roman" w:hAnsi="Times New Roman" w:cs="Times New Roman"/>
      </w:rPr>
    </w:lvl>
    <w:lvl w:ilvl="6">
      <w:start w:val="1"/>
      <w:numFmt w:val="decimal"/>
      <w:lvlText w:val="%1.%2.%3.%4.%5.%6.%7"/>
      <w:lvlJc w:val="left"/>
      <w:pPr>
        <w:tabs>
          <w:tab w:val="num" w:pos="1440"/>
        </w:tabs>
        <w:ind w:left="1440" w:hanging="1296"/>
      </w:pPr>
      <w:rPr>
        <w:rFonts w:ascii="Times New Roman" w:hAnsi="Times New Roman" w:cs="Times New Roman"/>
      </w:rPr>
    </w:lvl>
    <w:lvl w:ilvl="7">
      <w:start w:val="1"/>
      <w:numFmt w:val="decimal"/>
      <w:lvlText w:val="%1.%2.%3.%4.%5.%6.%7.%8"/>
      <w:lvlJc w:val="left"/>
      <w:pPr>
        <w:tabs>
          <w:tab w:val="num" w:pos="1584"/>
        </w:tabs>
        <w:ind w:left="1584" w:hanging="1440"/>
      </w:pPr>
      <w:rPr>
        <w:rFonts w:ascii="Times New Roman" w:hAnsi="Times New Roman" w:cs="Times New Roman"/>
      </w:rPr>
    </w:lvl>
    <w:lvl w:ilvl="8">
      <w:start w:val="1"/>
      <w:numFmt w:val="decimal"/>
      <w:lvlText w:val="%1.%2.%3.%4.%5.%6.%7.%8.%9"/>
      <w:lvlJc w:val="left"/>
      <w:pPr>
        <w:tabs>
          <w:tab w:val="num" w:pos="1728"/>
        </w:tabs>
        <w:ind w:left="1728" w:hanging="1584"/>
      </w:pPr>
      <w:rPr>
        <w:rFonts w:ascii="Times New Roman" w:hAnsi="Times New Roman" w:cs="Times New Roman"/>
      </w:rPr>
    </w:lvl>
  </w:abstractNum>
  <w:abstractNum w:abstractNumId="7">
    <w:nsid w:val="488F697F"/>
    <w:multiLevelType w:val="hybridMultilevel"/>
    <w:tmpl w:val="04E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FE1F6B"/>
    <w:multiLevelType w:val="hybridMultilevel"/>
    <w:tmpl w:val="E8CC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CA35C0"/>
    <w:multiLevelType w:val="hybridMultilevel"/>
    <w:tmpl w:val="E74AA500"/>
    <w:lvl w:ilvl="0" w:tplc="CAF6F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669E3"/>
    <w:multiLevelType w:val="hybridMultilevel"/>
    <w:tmpl w:val="0510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FA0523"/>
    <w:multiLevelType w:val="hybridMultilevel"/>
    <w:tmpl w:val="59F2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1"/>
  </w:num>
  <w:num w:numId="6">
    <w:abstractNumId w:val="10"/>
  </w:num>
  <w:num w:numId="7">
    <w:abstractNumId w:val="3"/>
  </w:num>
  <w:num w:numId="8">
    <w:abstractNumId w:val="7"/>
  </w:num>
  <w:num w:numId="9">
    <w:abstractNumId w:val="2"/>
  </w:num>
  <w:num w:numId="10">
    <w:abstractNumId w:val="6"/>
  </w:num>
  <w:num w:numId="11">
    <w:abstractNumId w:val="9"/>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Pooser">
    <w15:presenceInfo w15:providerId="Windows Live" w15:userId="a45e62802a6477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697B23"/>
    <w:rsid w:val="00001753"/>
    <w:rsid w:val="00007EDE"/>
    <w:rsid w:val="00012EC1"/>
    <w:rsid w:val="00014147"/>
    <w:rsid w:val="00015D5C"/>
    <w:rsid w:val="00020339"/>
    <w:rsid w:val="00023782"/>
    <w:rsid w:val="00026D89"/>
    <w:rsid w:val="00027C9E"/>
    <w:rsid w:val="00031131"/>
    <w:rsid w:val="00035D84"/>
    <w:rsid w:val="00037268"/>
    <w:rsid w:val="0004611A"/>
    <w:rsid w:val="000463C1"/>
    <w:rsid w:val="0005313A"/>
    <w:rsid w:val="00053A4B"/>
    <w:rsid w:val="00054678"/>
    <w:rsid w:val="00057054"/>
    <w:rsid w:val="00057CD8"/>
    <w:rsid w:val="000666BA"/>
    <w:rsid w:val="0006768A"/>
    <w:rsid w:val="00071884"/>
    <w:rsid w:val="00080467"/>
    <w:rsid w:val="00080716"/>
    <w:rsid w:val="000829C1"/>
    <w:rsid w:val="00090378"/>
    <w:rsid w:val="000908EB"/>
    <w:rsid w:val="00090E49"/>
    <w:rsid w:val="0009612E"/>
    <w:rsid w:val="00096E2E"/>
    <w:rsid w:val="000970A0"/>
    <w:rsid w:val="00097AF9"/>
    <w:rsid w:val="000A04BF"/>
    <w:rsid w:val="000A3B3F"/>
    <w:rsid w:val="000B2EE6"/>
    <w:rsid w:val="000B3397"/>
    <w:rsid w:val="000B3928"/>
    <w:rsid w:val="000B3DE4"/>
    <w:rsid w:val="000B691E"/>
    <w:rsid w:val="000C0964"/>
    <w:rsid w:val="000C797E"/>
    <w:rsid w:val="000C7EC4"/>
    <w:rsid w:val="000D585F"/>
    <w:rsid w:val="000E108F"/>
    <w:rsid w:val="000E2319"/>
    <w:rsid w:val="000E296C"/>
    <w:rsid w:val="000E56CE"/>
    <w:rsid w:val="000F0DC8"/>
    <w:rsid w:val="000F1845"/>
    <w:rsid w:val="000F55F1"/>
    <w:rsid w:val="000F5AA8"/>
    <w:rsid w:val="000F7F3A"/>
    <w:rsid w:val="00102DF2"/>
    <w:rsid w:val="00103F21"/>
    <w:rsid w:val="0010643F"/>
    <w:rsid w:val="001139EB"/>
    <w:rsid w:val="001257B8"/>
    <w:rsid w:val="001259F2"/>
    <w:rsid w:val="001272BC"/>
    <w:rsid w:val="00130565"/>
    <w:rsid w:val="00132A15"/>
    <w:rsid w:val="001341D5"/>
    <w:rsid w:val="001379F4"/>
    <w:rsid w:val="00141BD3"/>
    <w:rsid w:val="001422D2"/>
    <w:rsid w:val="00144279"/>
    <w:rsid w:val="001450AE"/>
    <w:rsid w:val="00145A01"/>
    <w:rsid w:val="00145FD4"/>
    <w:rsid w:val="001507E7"/>
    <w:rsid w:val="00153A46"/>
    <w:rsid w:val="001565F1"/>
    <w:rsid w:val="00156A6C"/>
    <w:rsid w:val="00160462"/>
    <w:rsid w:val="00165289"/>
    <w:rsid w:val="0016649C"/>
    <w:rsid w:val="00167B15"/>
    <w:rsid w:val="0017072E"/>
    <w:rsid w:val="0017120C"/>
    <w:rsid w:val="00171DCB"/>
    <w:rsid w:val="00172474"/>
    <w:rsid w:val="00173B35"/>
    <w:rsid w:val="0017628B"/>
    <w:rsid w:val="00177F26"/>
    <w:rsid w:val="00183846"/>
    <w:rsid w:val="00184F11"/>
    <w:rsid w:val="00185AE5"/>
    <w:rsid w:val="00185C73"/>
    <w:rsid w:val="00186236"/>
    <w:rsid w:val="0018624D"/>
    <w:rsid w:val="0018791C"/>
    <w:rsid w:val="00187D21"/>
    <w:rsid w:val="001914D1"/>
    <w:rsid w:val="00195412"/>
    <w:rsid w:val="00195C6E"/>
    <w:rsid w:val="00197D98"/>
    <w:rsid w:val="001A412D"/>
    <w:rsid w:val="001A6381"/>
    <w:rsid w:val="001A75F2"/>
    <w:rsid w:val="001A7C81"/>
    <w:rsid w:val="001B0183"/>
    <w:rsid w:val="001B18E3"/>
    <w:rsid w:val="001C1D8F"/>
    <w:rsid w:val="001C2DAB"/>
    <w:rsid w:val="001C5112"/>
    <w:rsid w:val="001C5FE6"/>
    <w:rsid w:val="001C7D93"/>
    <w:rsid w:val="001D1E2C"/>
    <w:rsid w:val="001D2545"/>
    <w:rsid w:val="001D5989"/>
    <w:rsid w:val="001D662B"/>
    <w:rsid w:val="001D7EE0"/>
    <w:rsid w:val="001E163F"/>
    <w:rsid w:val="001E41B2"/>
    <w:rsid w:val="001F0822"/>
    <w:rsid w:val="001F2831"/>
    <w:rsid w:val="001F7266"/>
    <w:rsid w:val="00204819"/>
    <w:rsid w:val="00207515"/>
    <w:rsid w:val="002075C5"/>
    <w:rsid w:val="00210418"/>
    <w:rsid w:val="002156C9"/>
    <w:rsid w:val="00216559"/>
    <w:rsid w:val="00216619"/>
    <w:rsid w:val="00221008"/>
    <w:rsid w:val="00222789"/>
    <w:rsid w:val="0022301A"/>
    <w:rsid w:val="00224D9C"/>
    <w:rsid w:val="002257DF"/>
    <w:rsid w:val="0023467D"/>
    <w:rsid w:val="00235A67"/>
    <w:rsid w:val="00240175"/>
    <w:rsid w:val="00241965"/>
    <w:rsid w:val="00244E73"/>
    <w:rsid w:val="00245BDC"/>
    <w:rsid w:val="00246044"/>
    <w:rsid w:val="0025188B"/>
    <w:rsid w:val="0025334A"/>
    <w:rsid w:val="0025398C"/>
    <w:rsid w:val="00256CDC"/>
    <w:rsid w:val="00262CB5"/>
    <w:rsid w:val="00267EBB"/>
    <w:rsid w:val="00272818"/>
    <w:rsid w:val="00272EA8"/>
    <w:rsid w:val="0027355F"/>
    <w:rsid w:val="002737F9"/>
    <w:rsid w:val="00282727"/>
    <w:rsid w:val="00283353"/>
    <w:rsid w:val="002833C2"/>
    <w:rsid w:val="00283652"/>
    <w:rsid w:val="00292653"/>
    <w:rsid w:val="002977A8"/>
    <w:rsid w:val="002A7CAE"/>
    <w:rsid w:val="002B05B8"/>
    <w:rsid w:val="002B06C6"/>
    <w:rsid w:val="002B13F7"/>
    <w:rsid w:val="002B47CD"/>
    <w:rsid w:val="002B51DB"/>
    <w:rsid w:val="002B6A86"/>
    <w:rsid w:val="002B7858"/>
    <w:rsid w:val="002C05F2"/>
    <w:rsid w:val="002C0815"/>
    <w:rsid w:val="002C3AD2"/>
    <w:rsid w:val="002C5360"/>
    <w:rsid w:val="002C65F8"/>
    <w:rsid w:val="002C7118"/>
    <w:rsid w:val="002D103C"/>
    <w:rsid w:val="002D1A62"/>
    <w:rsid w:val="002D1E53"/>
    <w:rsid w:val="002D4142"/>
    <w:rsid w:val="002D45A7"/>
    <w:rsid w:val="002D4DD8"/>
    <w:rsid w:val="002D6AB7"/>
    <w:rsid w:val="002D75DA"/>
    <w:rsid w:val="002D7DEA"/>
    <w:rsid w:val="002E1DB7"/>
    <w:rsid w:val="002E522A"/>
    <w:rsid w:val="002E5B31"/>
    <w:rsid w:val="002F182D"/>
    <w:rsid w:val="002F550E"/>
    <w:rsid w:val="002F7450"/>
    <w:rsid w:val="002F7804"/>
    <w:rsid w:val="00302155"/>
    <w:rsid w:val="00303513"/>
    <w:rsid w:val="00310455"/>
    <w:rsid w:val="00311E3E"/>
    <w:rsid w:val="00317035"/>
    <w:rsid w:val="00322705"/>
    <w:rsid w:val="0032403E"/>
    <w:rsid w:val="00324149"/>
    <w:rsid w:val="00324548"/>
    <w:rsid w:val="0032531B"/>
    <w:rsid w:val="0032542C"/>
    <w:rsid w:val="00330FD1"/>
    <w:rsid w:val="00332A27"/>
    <w:rsid w:val="0033313A"/>
    <w:rsid w:val="00333962"/>
    <w:rsid w:val="00335FAF"/>
    <w:rsid w:val="0033640F"/>
    <w:rsid w:val="0033742E"/>
    <w:rsid w:val="00340924"/>
    <w:rsid w:val="00342D08"/>
    <w:rsid w:val="00343F54"/>
    <w:rsid w:val="00344081"/>
    <w:rsid w:val="00345AB7"/>
    <w:rsid w:val="003476FE"/>
    <w:rsid w:val="003506B1"/>
    <w:rsid w:val="003535CC"/>
    <w:rsid w:val="0035441E"/>
    <w:rsid w:val="003570B3"/>
    <w:rsid w:val="0036255F"/>
    <w:rsid w:val="00364ACF"/>
    <w:rsid w:val="003756C0"/>
    <w:rsid w:val="0037660C"/>
    <w:rsid w:val="0037692B"/>
    <w:rsid w:val="0038449D"/>
    <w:rsid w:val="0038599F"/>
    <w:rsid w:val="00386883"/>
    <w:rsid w:val="0039050A"/>
    <w:rsid w:val="00391E78"/>
    <w:rsid w:val="003922CE"/>
    <w:rsid w:val="00396BBE"/>
    <w:rsid w:val="003A39CE"/>
    <w:rsid w:val="003A4674"/>
    <w:rsid w:val="003B2084"/>
    <w:rsid w:val="003B34A4"/>
    <w:rsid w:val="003B3A8C"/>
    <w:rsid w:val="003B4664"/>
    <w:rsid w:val="003B48DF"/>
    <w:rsid w:val="003B55BE"/>
    <w:rsid w:val="003C10F4"/>
    <w:rsid w:val="003C212C"/>
    <w:rsid w:val="003C45B2"/>
    <w:rsid w:val="003C5B63"/>
    <w:rsid w:val="003C7EF1"/>
    <w:rsid w:val="003D01FC"/>
    <w:rsid w:val="003D1B88"/>
    <w:rsid w:val="003D2076"/>
    <w:rsid w:val="003D5CAC"/>
    <w:rsid w:val="003D7019"/>
    <w:rsid w:val="003E261C"/>
    <w:rsid w:val="003E26D9"/>
    <w:rsid w:val="003E6384"/>
    <w:rsid w:val="003E6C85"/>
    <w:rsid w:val="003F1D53"/>
    <w:rsid w:val="003F698B"/>
    <w:rsid w:val="003F78FF"/>
    <w:rsid w:val="0040370F"/>
    <w:rsid w:val="00403729"/>
    <w:rsid w:val="00405B2C"/>
    <w:rsid w:val="00405E3E"/>
    <w:rsid w:val="00410EEA"/>
    <w:rsid w:val="004115AB"/>
    <w:rsid w:val="00411CE0"/>
    <w:rsid w:val="00412716"/>
    <w:rsid w:val="00413D1F"/>
    <w:rsid w:val="00422988"/>
    <w:rsid w:val="0042368C"/>
    <w:rsid w:val="004368BF"/>
    <w:rsid w:val="004415AA"/>
    <w:rsid w:val="00443791"/>
    <w:rsid w:val="004457D3"/>
    <w:rsid w:val="00445B8E"/>
    <w:rsid w:val="00450057"/>
    <w:rsid w:val="00450F8C"/>
    <w:rsid w:val="0045585D"/>
    <w:rsid w:val="004569B9"/>
    <w:rsid w:val="004602A2"/>
    <w:rsid w:val="004641D2"/>
    <w:rsid w:val="004658B8"/>
    <w:rsid w:val="00465E4A"/>
    <w:rsid w:val="0046718B"/>
    <w:rsid w:val="00470E31"/>
    <w:rsid w:val="0047159C"/>
    <w:rsid w:val="004739FD"/>
    <w:rsid w:val="004740AE"/>
    <w:rsid w:val="00476945"/>
    <w:rsid w:val="00477A28"/>
    <w:rsid w:val="00484382"/>
    <w:rsid w:val="004852D8"/>
    <w:rsid w:val="004904BD"/>
    <w:rsid w:val="00496998"/>
    <w:rsid w:val="00496B61"/>
    <w:rsid w:val="004A10A7"/>
    <w:rsid w:val="004A2D88"/>
    <w:rsid w:val="004A5373"/>
    <w:rsid w:val="004A6B73"/>
    <w:rsid w:val="004A7822"/>
    <w:rsid w:val="004B3539"/>
    <w:rsid w:val="004B36F5"/>
    <w:rsid w:val="004B3D67"/>
    <w:rsid w:val="004C2A09"/>
    <w:rsid w:val="004C58FE"/>
    <w:rsid w:val="004C674D"/>
    <w:rsid w:val="004D061D"/>
    <w:rsid w:val="004D26E6"/>
    <w:rsid w:val="004D2A6C"/>
    <w:rsid w:val="004D33FF"/>
    <w:rsid w:val="004D36F1"/>
    <w:rsid w:val="004D53E8"/>
    <w:rsid w:val="004D54E9"/>
    <w:rsid w:val="004D7D50"/>
    <w:rsid w:val="004E0507"/>
    <w:rsid w:val="004E158A"/>
    <w:rsid w:val="004E1D46"/>
    <w:rsid w:val="004E7FDF"/>
    <w:rsid w:val="004F1334"/>
    <w:rsid w:val="004F1756"/>
    <w:rsid w:val="004F3605"/>
    <w:rsid w:val="004F597B"/>
    <w:rsid w:val="004F5FFD"/>
    <w:rsid w:val="004F60F2"/>
    <w:rsid w:val="004F746B"/>
    <w:rsid w:val="00504D4A"/>
    <w:rsid w:val="00510A8C"/>
    <w:rsid w:val="00510DFE"/>
    <w:rsid w:val="005110C3"/>
    <w:rsid w:val="00511F62"/>
    <w:rsid w:val="00513042"/>
    <w:rsid w:val="00515775"/>
    <w:rsid w:val="00515DC1"/>
    <w:rsid w:val="00516FAE"/>
    <w:rsid w:val="00520EAD"/>
    <w:rsid w:val="0052272A"/>
    <w:rsid w:val="0052786A"/>
    <w:rsid w:val="005327D5"/>
    <w:rsid w:val="0053484A"/>
    <w:rsid w:val="00535D35"/>
    <w:rsid w:val="00540368"/>
    <w:rsid w:val="0054311C"/>
    <w:rsid w:val="00544893"/>
    <w:rsid w:val="00544B9D"/>
    <w:rsid w:val="00554588"/>
    <w:rsid w:val="0056097E"/>
    <w:rsid w:val="00565861"/>
    <w:rsid w:val="00565C8B"/>
    <w:rsid w:val="00567A1C"/>
    <w:rsid w:val="00567CDE"/>
    <w:rsid w:val="0057123A"/>
    <w:rsid w:val="00572E82"/>
    <w:rsid w:val="00575E3A"/>
    <w:rsid w:val="00577AFD"/>
    <w:rsid w:val="005801FE"/>
    <w:rsid w:val="00582315"/>
    <w:rsid w:val="0058407B"/>
    <w:rsid w:val="0059261C"/>
    <w:rsid w:val="00592769"/>
    <w:rsid w:val="00595027"/>
    <w:rsid w:val="005967FB"/>
    <w:rsid w:val="00596B9A"/>
    <w:rsid w:val="00597BB4"/>
    <w:rsid w:val="005A1BAC"/>
    <w:rsid w:val="005A3A06"/>
    <w:rsid w:val="005B13FB"/>
    <w:rsid w:val="005B23F0"/>
    <w:rsid w:val="005B496C"/>
    <w:rsid w:val="005B56F2"/>
    <w:rsid w:val="005B6DA4"/>
    <w:rsid w:val="005B7C32"/>
    <w:rsid w:val="005C29B5"/>
    <w:rsid w:val="005C3395"/>
    <w:rsid w:val="005C7CA2"/>
    <w:rsid w:val="005C7CEA"/>
    <w:rsid w:val="005D3F23"/>
    <w:rsid w:val="005D5BE3"/>
    <w:rsid w:val="005D6379"/>
    <w:rsid w:val="005E2323"/>
    <w:rsid w:val="005E2541"/>
    <w:rsid w:val="005E6320"/>
    <w:rsid w:val="005E66F2"/>
    <w:rsid w:val="0060059B"/>
    <w:rsid w:val="006016D2"/>
    <w:rsid w:val="0060227C"/>
    <w:rsid w:val="0060335C"/>
    <w:rsid w:val="00605DF0"/>
    <w:rsid w:val="00606FBA"/>
    <w:rsid w:val="006211C4"/>
    <w:rsid w:val="006215D8"/>
    <w:rsid w:val="00622491"/>
    <w:rsid w:val="0062436F"/>
    <w:rsid w:val="006274B7"/>
    <w:rsid w:val="00637A9B"/>
    <w:rsid w:val="00642CAA"/>
    <w:rsid w:val="00646979"/>
    <w:rsid w:val="0065254C"/>
    <w:rsid w:val="00653E8F"/>
    <w:rsid w:val="0065444A"/>
    <w:rsid w:val="00657C64"/>
    <w:rsid w:val="006637F4"/>
    <w:rsid w:val="006669E4"/>
    <w:rsid w:val="00667E09"/>
    <w:rsid w:val="00672ADB"/>
    <w:rsid w:val="00674B66"/>
    <w:rsid w:val="00676D1D"/>
    <w:rsid w:val="0067756E"/>
    <w:rsid w:val="00683434"/>
    <w:rsid w:val="00684591"/>
    <w:rsid w:val="0068558E"/>
    <w:rsid w:val="0068587B"/>
    <w:rsid w:val="00685A70"/>
    <w:rsid w:val="00690002"/>
    <w:rsid w:val="00690F4B"/>
    <w:rsid w:val="00691FFE"/>
    <w:rsid w:val="00694257"/>
    <w:rsid w:val="00694308"/>
    <w:rsid w:val="006946BE"/>
    <w:rsid w:val="00695705"/>
    <w:rsid w:val="00697B13"/>
    <w:rsid w:val="00697B23"/>
    <w:rsid w:val="006A0FAE"/>
    <w:rsid w:val="006A12FD"/>
    <w:rsid w:val="006A2C72"/>
    <w:rsid w:val="006B16E3"/>
    <w:rsid w:val="006B2325"/>
    <w:rsid w:val="006B3D64"/>
    <w:rsid w:val="006B7C41"/>
    <w:rsid w:val="006C0F0D"/>
    <w:rsid w:val="006C4500"/>
    <w:rsid w:val="006C741F"/>
    <w:rsid w:val="006D00D8"/>
    <w:rsid w:val="006D115E"/>
    <w:rsid w:val="006D1428"/>
    <w:rsid w:val="006D2EF1"/>
    <w:rsid w:val="006D3534"/>
    <w:rsid w:val="006D4867"/>
    <w:rsid w:val="006D5A89"/>
    <w:rsid w:val="006D6DE2"/>
    <w:rsid w:val="006D7791"/>
    <w:rsid w:val="006E0821"/>
    <w:rsid w:val="006E2626"/>
    <w:rsid w:val="006E3E8E"/>
    <w:rsid w:val="006E5D8F"/>
    <w:rsid w:val="006E7520"/>
    <w:rsid w:val="006F2425"/>
    <w:rsid w:val="006F25BE"/>
    <w:rsid w:val="006F47AB"/>
    <w:rsid w:val="006F4E57"/>
    <w:rsid w:val="00700CFE"/>
    <w:rsid w:val="0070154B"/>
    <w:rsid w:val="00703716"/>
    <w:rsid w:val="00705FB5"/>
    <w:rsid w:val="00707D7B"/>
    <w:rsid w:val="0071123B"/>
    <w:rsid w:val="007121A9"/>
    <w:rsid w:val="00713683"/>
    <w:rsid w:val="0071377A"/>
    <w:rsid w:val="007139FA"/>
    <w:rsid w:val="00713AAC"/>
    <w:rsid w:val="0071529E"/>
    <w:rsid w:val="007155C0"/>
    <w:rsid w:val="00715F92"/>
    <w:rsid w:val="007168FE"/>
    <w:rsid w:val="00717388"/>
    <w:rsid w:val="00721921"/>
    <w:rsid w:val="00722AE3"/>
    <w:rsid w:val="00723FE4"/>
    <w:rsid w:val="0072498C"/>
    <w:rsid w:val="00730C30"/>
    <w:rsid w:val="0073344D"/>
    <w:rsid w:val="00736532"/>
    <w:rsid w:val="00744E4F"/>
    <w:rsid w:val="007458BF"/>
    <w:rsid w:val="0075079A"/>
    <w:rsid w:val="00750E8B"/>
    <w:rsid w:val="0075170A"/>
    <w:rsid w:val="00751796"/>
    <w:rsid w:val="00751DAD"/>
    <w:rsid w:val="0075246D"/>
    <w:rsid w:val="007529A9"/>
    <w:rsid w:val="007549E9"/>
    <w:rsid w:val="00763C38"/>
    <w:rsid w:val="00766A39"/>
    <w:rsid w:val="007703F9"/>
    <w:rsid w:val="007743B2"/>
    <w:rsid w:val="007766EC"/>
    <w:rsid w:val="00780F6D"/>
    <w:rsid w:val="00781806"/>
    <w:rsid w:val="00783AD6"/>
    <w:rsid w:val="0079557C"/>
    <w:rsid w:val="007A43D6"/>
    <w:rsid w:val="007A5C1E"/>
    <w:rsid w:val="007A649D"/>
    <w:rsid w:val="007A6ADE"/>
    <w:rsid w:val="007B05B9"/>
    <w:rsid w:val="007B5075"/>
    <w:rsid w:val="007C0118"/>
    <w:rsid w:val="007D05C9"/>
    <w:rsid w:val="007D30BD"/>
    <w:rsid w:val="007E7340"/>
    <w:rsid w:val="007F1A0C"/>
    <w:rsid w:val="007F3462"/>
    <w:rsid w:val="007F4F0F"/>
    <w:rsid w:val="00806A62"/>
    <w:rsid w:val="00806F23"/>
    <w:rsid w:val="0080792B"/>
    <w:rsid w:val="008126EA"/>
    <w:rsid w:val="00814801"/>
    <w:rsid w:val="00814D93"/>
    <w:rsid w:val="00815FA9"/>
    <w:rsid w:val="008166B2"/>
    <w:rsid w:val="00820AD5"/>
    <w:rsid w:val="00823C3A"/>
    <w:rsid w:val="00825933"/>
    <w:rsid w:val="008259D6"/>
    <w:rsid w:val="00826B55"/>
    <w:rsid w:val="008271B5"/>
    <w:rsid w:val="00831365"/>
    <w:rsid w:val="00834F0D"/>
    <w:rsid w:val="00836619"/>
    <w:rsid w:val="00842EA1"/>
    <w:rsid w:val="00843454"/>
    <w:rsid w:val="00844753"/>
    <w:rsid w:val="00845D8D"/>
    <w:rsid w:val="00851254"/>
    <w:rsid w:val="00856F02"/>
    <w:rsid w:val="00866853"/>
    <w:rsid w:val="00870185"/>
    <w:rsid w:val="00876507"/>
    <w:rsid w:val="008845C5"/>
    <w:rsid w:val="0088701A"/>
    <w:rsid w:val="00891E36"/>
    <w:rsid w:val="008932AA"/>
    <w:rsid w:val="008941A0"/>
    <w:rsid w:val="00894E76"/>
    <w:rsid w:val="008A0ADE"/>
    <w:rsid w:val="008A0B43"/>
    <w:rsid w:val="008B0095"/>
    <w:rsid w:val="008B0A71"/>
    <w:rsid w:val="008B329D"/>
    <w:rsid w:val="008B6B0C"/>
    <w:rsid w:val="008C297D"/>
    <w:rsid w:val="008C2CB5"/>
    <w:rsid w:val="008C4AFE"/>
    <w:rsid w:val="008C5E14"/>
    <w:rsid w:val="008D0033"/>
    <w:rsid w:val="008D06D7"/>
    <w:rsid w:val="008D1CEE"/>
    <w:rsid w:val="008D2647"/>
    <w:rsid w:val="008D6EF1"/>
    <w:rsid w:val="008D7F2F"/>
    <w:rsid w:val="008E4D69"/>
    <w:rsid w:val="008E543B"/>
    <w:rsid w:val="008E644B"/>
    <w:rsid w:val="008E6DC5"/>
    <w:rsid w:val="008F2700"/>
    <w:rsid w:val="008F46AE"/>
    <w:rsid w:val="00902700"/>
    <w:rsid w:val="0090318B"/>
    <w:rsid w:val="00903DD6"/>
    <w:rsid w:val="00904837"/>
    <w:rsid w:val="00904CC2"/>
    <w:rsid w:val="00905937"/>
    <w:rsid w:val="00911474"/>
    <w:rsid w:val="00912F12"/>
    <w:rsid w:val="009149E0"/>
    <w:rsid w:val="009176B4"/>
    <w:rsid w:val="00925A4E"/>
    <w:rsid w:val="0093179B"/>
    <w:rsid w:val="00932ECF"/>
    <w:rsid w:val="00934677"/>
    <w:rsid w:val="00934A91"/>
    <w:rsid w:val="00935B11"/>
    <w:rsid w:val="00936B3E"/>
    <w:rsid w:val="00945FAA"/>
    <w:rsid w:val="00946ACE"/>
    <w:rsid w:val="00953484"/>
    <w:rsid w:val="009577DC"/>
    <w:rsid w:val="00957C33"/>
    <w:rsid w:val="009614A7"/>
    <w:rsid w:val="00965006"/>
    <w:rsid w:val="009668F7"/>
    <w:rsid w:val="009709B3"/>
    <w:rsid w:val="00970DC2"/>
    <w:rsid w:val="00971149"/>
    <w:rsid w:val="009725C6"/>
    <w:rsid w:val="00973000"/>
    <w:rsid w:val="009772A3"/>
    <w:rsid w:val="00977A92"/>
    <w:rsid w:val="00983929"/>
    <w:rsid w:val="00986A6F"/>
    <w:rsid w:val="009915B6"/>
    <w:rsid w:val="00995011"/>
    <w:rsid w:val="00996B96"/>
    <w:rsid w:val="009A3907"/>
    <w:rsid w:val="009A4127"/>
    <w:rsid w:val="009B0ACB"/>
    <w:rsid w:val="009B1648"/>
    <w:rsid w:val="009B2594"/>
    <w:rsid w:val="009B2BF8"/>
    <w:rsid w:val="009B59F2"/>
    <w:rsid w:val="009D1158"/>
    <w:rsid w:val="009D1ECD"/>
    <w:rsid w:val="009D3E19"/>
    <w:rsid w:val="009D5E25"/>
    <w:rsid w:val="009D6398"/>
    <w:rsid w:val="009D6BD8"/>
    <w:rsid w:val="009D72FD"/>
    <w:rsid w:val="009D7768"/>
    <w:rsid w:val="009E02BD"/>
    <w:rsid w:val="009E17A7"/>
    <w:rsid w:val="009E2CA1"/>
    <w:rsid w:val="009E76CD"/>
    <w:rsid w:val="009E77EF"/>
    <w:rsid w:val="009E780A"/>
    <w:rsid w:val="009F3892"/>
    <w:rsid w:val="00A00EE8"/>
    <w:rsid w:val="00A0216B"/>
    <w:rsid w:val="00A03905"/>
    <w:rsid w:val="00A049C9"/>
    <w:rsid w:val="00A0511A"/>
    <w:rsid w:val="00A05969"/>
    <w:rsid w:val="00A07DFC"/>
    <w:rsid w:val="00A1192A"/>
    <w:rsid w:val="00A226FF"/>
    <w:rsid w:val="00A22EEE"/>
    <w:rsid w:val="00A30982"/>
    <w:rsid w:val="00A30F53"/>
    <w:rsid w:val="00A3472E"/>
    <w:rsid w:val="00A36979"/>
    <w:rsid w:val="00A45E30"/>
    <w:rsid w:val="00A4791A"/>
    <w:rsid w:val="00A47C63"/>
    <w:rsid w:val="00A51530"/>
    <w:rsid w:val="00A53565"/>
    <w:rsid w:val="00A570ED"/>
    <w:rsid w:val="00A571A9"/>
    <w:rsid w:val="00A5732F"/>
    <w:rsid w:val="00A61183"/>
    <w:rsid w:val="00A612AD"/>
    <w:rsid w:val="00A65993"/>
    <w:rsid w:val="00A67573"/>
    <w:rsid w:val="00A7047F"/>
    <w:rsid w:val="00A7094A"/>
    <w:rsid w:val="00A70F9A"/>
    <w:rsid w:val="00A71972"/>
    <w:rsid w:val="00A720B0"/>
    <w:rsid w:val="00A72502"/>
    <w:rsid w:val="00A747B8"/>
    <w:rsid w:val="00A75B24"/>
    <w:rsid w:val="00A76465"/>
    <w:rsid w:val="00A7692F"/>
    <w:rsid w:val="00A85CC9"/>
    <w:rsid w:val="00A85E8C"/>
    <w:rsid w:val="00A85E9C"/>
    <w:rsid w:val="00A8796E"/>
    <w:rsid w:val="00A975F0"/>
    <w:rsid w:val="00A97F55"/>
    <w:rsid w:val="00AA1BAE"/>
    <w:rsid w:val="00AA219B"/>
    <w:rsid w:val="00AA2B88"/>
    <w:rsid w:val="00AA3FE9"/>
    <w:rsid w:val="00AA5320"/>
    <w:rsid w:val="00AA64CC"/>
    <w:rsid w:val="00AA76C0"/>
    <w:rsid w:val="00AB07CB"/>
    <w:rsid w:val="00AB1204"/>
    <w:rsid w:val="00AB14F1"/>
    <w:rsid w:val="00AB514E"/>
    <w:rsid w:val="00AB69A6"/>
    <w:rsid w:val="00AB6E6C"/>
    <w:rsid w:val="00AB6F63"/>
    <w:rsid w:val="00AB763C"/>
    <w:rsid w:val="00AC3E3D"/>
    <w:rsid w:val="00AC7011"/>
    <w:rsid w:val="00AC7101"/>
    <w:rsid w:val="00AD1DC1"/>
    <w:rsid w:val="00AD629F"/>
    <w:rsid w:val="00AD719F"/>
    <w:rsid w:val="00AE3666"/>
    <w:rsid w:val="00AE7D0B"/>
    <w:rsid w:val="00AE7E8E"/>
    <w:rsid w:val="00AE7FF7"/>
    <w:rsid w:val="00AF3B4F"/>
    <w:rsid w:val="00AF4CC8"/>
    <w:rsid w:val="00AF6827"/>
    <w:rsid w:val="00AF6C8E"/>
    <w:rsid w:val="00B00BC9"/>
    <w:rsid w:val="00B01CEC"/>
    <w:rsid w:val="00B05A09"/>
    <w:rsid w:val="00B05E79"/>
    <w:rsid w:val="00B06526"/>
    <w:rsid w:val="00B16AFC"/>
    <w:rsid w:val="00B21C7A"/>
    <w:rsid w:val="00B2466B"/>
    <w:rsid w:val="00B2495D"/>
    <w:rsid w:val="00B24BD7"/>
    <w:rsid w:val="00B264A0"/>
    <w:rsid w:val="00B31EB1"/>
    <w:rsid w:val="00B425E7"/>
    <w:rsid w:val="00B45CDA"/>
    <w:rsid w:val="00B469A9"/>
    <w:rsid w:val="00B53AD3"/>
    <w:rsid w:val="00B54863"/>
    <w:rsid w:val="00B62C79"/>
    <w:rsid w:val="00B636EB"/>
    <w:rsid w:val="00B70F80"/>
    <w:rsid w:val="00B77A02"/>
    <w:rsid w:val="00B80214"/>
    <w:rsid w:val="00B814E1"/>
    <w:rsid w:val="00B825EC"/>
    <w:rsid w:val="00B82F68"/>
    <w:rsid w:val="00B8324C"/>
    <w:rsid w:val="00B835E9"/>
    <w:rsid w:val="00B850F4"/>
    <w:rsid w:val="00B851ED"/>
    <w:rsid w:val="00B87CFF"/>
    <w:rsid w:val="00B931FB"/>
    <w:rsid w:val="00B948BE"/>
    <w:rsid w:val="00BA1090"/>
    <w:rsid w:val="00BA20C8"/>
    <w:rsid w:val="00BA3EC0"/>
    <w:rsid w:val="00BB1130"/>
    <w:rsid w:val="00BB3889"/>
    <w:rsid w:val="00BB4004"/>
    <w:rsid w:val="00BC48BE"/>
    <w:rsid w:val="00BC4A0E"/>
    <w:rsid w:val="00BC5FEF"/>
    <w:rsid w:val="00BC64F2"/>
    <w:rsid w:val="00BC6E57"/>
    <w:rsid w:val="00BC6F82"/>
    <w:rsid w:val="00BC7B3C"/>
    <w:rsid w:val="00BD0D56"/>
    <w:rsid w:val="00BD0FCD"/>
    <w:rsid w:val="00BD2AE3"/>
    <w:rsid w:val="00BD7B07"/>
    <w:rsid w:val="00BE0FFA"/>
    <w:rsid w:val="00BE4D3D"/>
    <w:rsid w:val="00BE6DB5"/>
    <w:rsid w:val="00BE7F00"/>
    <w:rsid w:val="00BF03B2"/>
    <w:rsid w:val="00BF1170"/>
    <w:rsid w:val="00BF2721"/>
    <w:rsid w:val="00BF5031"/>
    <w:rsid w:val="00BF7E5C"/>
    <w:rsid w:val="00C01818"/>
    <w:rsid w:val="00C02F8E"/>
    <w:rsid w:val="00C0469E"/>
    <w:rsid w:val="00C048E0"/>
    <w:rsid w:val="00C0598F"/>
    <w:rsid w:val="00C11AB9"/>
    <w:rsid w:val="00C11E06"/>
    <w:rsid w:val="00C21778"/>
    <w:rsid w:val="00C24308"/>
    <w:rsid w:val="00C2452D"/>
    <w:rsid w:val="00C34C49"/>
    <w:rsid w:val="00C357DD"/>
    <w:rsid w:val="00C4253B"/>
    <w:rsid w:val="00C42B1C"/>
    <w:rsid w:val="00C43584"/>
    <w:rsid w:val="00C4571F"/>
    <w:rsid w:val="00C4704E"/>
    <w:rsid w:val="00C51771"/>
    <w:rsid w:val="00C51C1A"/>
    <w:rsid w:val="00C54990"/>
    <w:rsid w:val="00C55CE8"/>
    <w:rsid w:val="00C56799"/>
    <w:rsid w:val="00C57281"/>
    <w:rsid w:val="00C5783E"/>
    <w:rsid w:val="00C60D31"/>
    <w:rsid w:val="00C6625B"/>
    <w:rsid w:val="00C662D5"/>
    <w:rsid w:val="00C66569"/>
    <w:rsid w:val="00C71327"/>
    <w:rsid w:val="00C714C8"/>
    <w:rsid w:val="00C724BA"/>
    <w:rsid w:val="00C731AD"/>
    <w:rsid w:val="00C7369C"/>
    <w:rsid w:val="00C73C64"/>
    <w:rsid w:val="00C748BC"/>
    <w:rsid w:val="00C76413"/>
    <w:rsid w:val="00C778F2"/>
    <w:rsid w:val="00C8062E"/>
    <w:rsid w:val="00C842A9"/>
    <w:rsid w:val="00C8585E"/>
    <w:rsid w:val="00C873D5"/>
    <w:rsid w:val="00C900BA"/>
    <w:rsid w:val="00C91A1B"/>
    <w:rsid w:val="00C91D82"/>
    <w:rsid w:val="00C93E2A"/>
    <w:rsid w:val="00C94385"/>
    <w:rsid w:val="00C95766"/>
    <w:rsid w:val="00C95878"/>
    <w:rsid w:val="00CA145C"/>
    <w:rsid w:val="00CA1F40"/>
    <w:rsid w:val="00CA2B81"/>
    <w:rsid w:val="00CA48E6"/>
    <w:rsid w:val="00CA56BF"/>
    <w:rsid w:val="00CB0253"/>
    <w:rsid w:val="00CB2CB8"/>
    <w:rsid w:val="00CB3487"/>
    <w:rsid w:val="00CB6A9C"/>
    <w:rsid w:val="00CB78B6"/>
    <w:rsid w:val="00CB7B5D"/>
    <w:rsid w:val="00CC2EF8"/>
    <w:rsid w:val="00CC6B2D"/>
    <w:rsid w:val="00CD0337"/>
    <w:rsid w:val="00CD1F4C"/>
    <w:rsid w:val="00CD1FAA"/>
    <w:rsid w:val="00CD4A2D"/>
    <w:rsid w:val="00CD5559"/>
    <w:rsid w:val="00CD6B16"/>
    <w:rsid w:val="00CE3EC0"/>
    <w:rsid w:val="00CE5652"/>
    <w:rsid w:val="00CF1C6F"/>
    <w:rsid w:val="00CF398F"/>
    <w:rsid w:val="00CF42A5"/>
    <w:rsid w:val="00CF663E"/>
    <w:rsid w:val="00CF7C5B"/>
    <w:rsid w:val="00D0096C"/>
    <w:rsid w:val="00D06193"/>
    <w:rsid w:val="00D07009"/>
    <w:rsid w:val="00D07F93"/>
    <w:rsid w:val="00D146A2"/>
    <w:rsid w:val="00D14736"/>
    <w:rsid w:val="00D14DEB"/>
    <w:rsid w:val="00D1771B"/>
    <w:rsid w:val="00D17E48"/>
    <w:rsid w:val="00D22EC6"/>
    <w:rsid w:val="00D250DE"/>
    <w:rsid w:val="00D2515D"/>
    <w:rsid w:val="00D2707D"/>
    <w:rsid w:val="00D27FB6"/>
    <w:rsid w:val="00D32E7B"/>
    <w:rsid w:val="00D41D2D"/>
    <w:rsid w:val="00D44273"/>
    <w:rsid w:val="00D44CA7"/>
    <w:rsid w:val="00D44EC1"/>
    <w:rsid w:val="00D453B4"/>
    <w:rsid w:val="00D536FB"/>
    <w:rsid w:val="00D55ECC"/>
    <w:rsid w:val="00D562EE"/>
    <w:rsid w:val="00D568FA"/>
    <w:rsid w:val="00D6077F"/>
    <w:rsid w:val="00D613A1"/>
    <w:rsid w:val="00D61E76"/>
    <w:rsid w:val="00D66CB4"/>
    <w:rsid w:val="00D670C3"/>
    <w:rsid w:val="00D71942"/>
    <w:rsid w:val="00D7278B"/>
    <w:rsid w:val="00D729E3"/>
    <w:rsid w:val="00D72CA6"/>
    <w:rsid w:val="00D7503E"/>
    <w:rsid w:val="00D752ED"/>
    <w:rsid w:val="00D80731"/>
    <w:rsid w:val="00D824D7"/>
    <w:rsid w:val="00D83837"/>
    <w:rsid w:val="00D87311"/>
    <w:rsid w:val="00D9228D"/>
    <w:rsid w:val="00D93672"/>
    <w:rsid w:val="00D94536"/>
    <w:rsid w:val="00DA1D75"/>
    <w:rsid w:val="00DA4041"/>
    <w:rsid w:val="00DA6750"/>
    <w:rsid w:val="00DB5FAB"/>
    <w:rsid w:val="00DB64DE"/>
    <w:rsid w:val="00DB668C"/>
    <w:rsid w:val="00DB7A69"/>
    <w:rsid w:val="00DC0D0C"/>
    <w:rsid w:val="00DC337D"/>
    <w:rsid w:val="00DC3A99"/>
    <w:rsid w:val="00DC57C0"/>
    <w:rsid w:val="00DC585E"/>
    <w:rsid w:val="00DC6614"/>
    <w:rsid w:val="00DC6B8C"/>
    <w:rsid w:val="00DD0BB6"/>
    <w:rsid w:val="00DD1AFC"/>
    <w:rsid w:val="00DD32AF"/>
    <w:rsid w:val="00DD3682"/>
    <w:rsid w:val="00DD7D58"/>
    <w:rsid w:val="00DE0FAA"/>
    <w:rsid w:val="00DE220B"/>
    <w:rsid w:val="00DE2B24"/>
    <w:rsid w:val="00DE6C17"/>
    <w:rsid w:val="00DF26C2"/>
    <w:rsid w:val="00DF74B8"/>
    <w:rsid w:val="00E00DC4"/>
    <w:rsid w:val="00E03703"/>
    <w:rsid w:val="00E04392"/>
    <w:rsid w:val="00E04E1A"/>
    <w:rsid w:val="00E10612"/>
    <w:rsid w:val="00E1257E"/>
    <w:rsid w:val="00E13E10"/>
    <w:rsid w:val="00E1401D"/>
    <w:rsid w:val="00E163B0"/>
    <w:rsid w:val="00E16801"/>
    <w:rsid w:val="00E2480C"/>
    <w:rsid w:val="00E33829"/>
    <w:rsid w:val="00E37BCC"/>
    <w:rsid w:val="00E40D97"/>
    <w:rsid w:val="00E414AF"/>
    <w:rsid w:val="00E43315"/>
    <w:rsid w:val="00E4478A"/>
    <w:rsid w:val="00E44980"/>
    <w:rsid w:val="00E44C95"/>
    <w:rsid w:val="00E503CB"/>
    <w:rsid w:val="00E55627"/>
    <w:rsid w:val="00E55F29"/>
    <w:rsid w:val="00E60A5A"/>
    <w:rsid w:val="00E649D4"/>
    <w:rsid w:val="00E667D7"/>
    <w:rsid w:val="00E67CA5"/>
    <w:rsid w:val="00E7076A"/>
    <w:rsid w:val="00E70B6F"/>
    <w:rsid w:val="00E70F4F"/>
    <w:rsid w:val="00E71A07"/>
    <w:rsid w:val="00E7438A"/>
    <w:rsid w:val="00E74D1F"/>
    <w:rsid w:val="00E765FE"/>
    <w:rsid w:val="00E77374"/>
    <w:rsid w:val="00E778A4"/>
    <w:rsid w:val="00E807AA"/>
    <w:rsid w:val="00E81A54"/>
    <w:rsid w:val="00E81C2E"/>
    <w:rsid w:val="00E82AC3"/>
    <w:rsid w:val="00E92772"/>
    <w:rsid w:val="00E96545"/>
    <w:rsid w:val="00EA375F"/>
    <w:rsid w:val="00EA420E"/>
    <w:rsid w:val="00EA506D"/>
    <w:rsid w:val="00EB01D8"/>
    <w:rsid w:val="00EB1429"/>
    <w:rsid w:val="00EB1982"/>
    <w:rsid w:val="00EB3866"/>
    <w:rsid w:val="00EB54AF"/>
    <w:rsid w:val="00EE6543"/>
    <w:rsid w:val="00EE78D6"/>
    <w:rsid w:val="00EF09A4"/>
    <w:rsid w:val="00EF32AD"/>
    <w:rsid w:val="00EF62CB"/>
    <w:rsid w:val="00F006D4"/>
    <w:rsid w:val="00F01DFF"/>
    <w:rsid w:val="00F02166"/>
    <w:rsid w:val="00F056A7"/>
    <w:rsid w:val="00F062B0"/>
    <w:rsid w:val="00F106B8"/>
    <w:rsid w:val="00F11F81"/>
    <w:rsid w:val="00F122BE"/>
    <w:rsid w:val="00F20001"/>
    <w:rsid w:val="00F2110E"/>
    <w:rsid w:val="00F21A6D"/>
    <w:rsid w:val="00F21D88"/>
    <w:rsid w:val="00F239ED"/>
    <w:rsid w:val="00F244C3"/>
    <w:rsid w:val="00F25340"/>
    <w:rsid w:val="00F26A6B"/>
    <w:rsid w:val="00F36044"/>
    <w:rsid w:val="00F4455A"/>
    <w:rsid w:val="00F50A66"/>
    <w:rsid w:val="00F51651"/>
    <w:rsid w:val="00F51C9C"/>
    <w:rsid w:val="00F52EE3"/>
    <w:rsid w:val="00F547D2"/>
    <w:rsid w:val="00F54EE0"/>
    <w:rsid w:val="00F560D7"/>
    <w:rsid w:val="00F56889"/>
    <w:rsid w:val="00F56B47"/>
    <w:rsid w:val="00F641CA"/>
    <w:rsid w:val="00F6625D"/>
    <w:rsid w:val="00F6700F"/>
    <w:rsid w:val="00F67423"/>
    <w:rsid w:val="00F71BDD"/>
    <w:rsid w:val="00F71D55"/>
    <w:rsid w:val="00F76167"/>
    <w:rsid w:val="00F82C4A"/>
    <w:rsid w:val="00F90ABC"/>
    <w:rsid w:val="00F91BCF"/>
    <w:rsid w:val="00F9335E"/>
    <w:rsid w:val="00F94455"/>
    <w:rsid w:val="00F95292"/>
    <w:rsid w:val="00F95443"/>
    <w:rsid w:val="00F966D4"/>
    <w:rsid w:val="00FA1C6A"/>
    <w:rsid w:val="00FA3745"/>
    <w:rsid w:val="00FA5274"/>
    <w:rsid w:val="00FA693D"/>
    <w:rsid w:val="00FB3525"/>
    <w:rsid w:val="00FB723B"/>
    <w:rsid w:val="00FC229D"/>
    <w:rsid w:val="00FC30EF"/>
    <w:rsid w:val="00FC33FD"/>
    <w:rsid w:val="00FC5EF3"/>
    <w:rsid w:val="00FC7702"/>
    <w:rsid w:val="00FD1268"/>
    <w:rsid w:val="00FD279C"/>
    <w:rsid w:val="00FD408F"/>
    <w:rsid w:val="00FD43CB"/>
    <w:rsid w:val="00FD5A26"/>
    <w:rsid w:val="00FE2B84"/>
    <w:rsid w:val="00FE3CD2"/>
    <w:rsid w:val="00FE4996"/>
    <w:rsid w:val="00FE4D9C"/>
    <w:rsid w:val="00FE6C47"/>
    <w:rsid w:val="00FE7ECB"/>
    <w:rsid w:val="00FF3E46"/>
    <w:rsid w:val="00FF5D42"/>
    <w:rsid w:val="00FF7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7B23"/>
  </w:style>
  <w:style w:type="paragraph" w:styleId="Heading1">
    <w:name w:val="heading 1"/>
    <w:basedOn w:val="Normal"/>
    <w:link w:val="Heading1Char"/>
    <w:uiPriority w:val="99"/>
    <w:qFormat/>
    <w:rsid w:val="00697B23"/>
    <w:pPr>
      <w:spacing w:before="72"/>
      <w:outlineLvl w:val="0"/>
    </w:pPr>
    <w:rPr>
      <w:rFonts w:eastAsia="Times New Roman"/>
      <w:b/>
      <w:bCs/>
    </w:rPr>
  </w:style>
  <w:style w:type="paragraph" w:styleId="Heading2">
    <w:name w:val="heading 2"/>
    <w:basedOn w:val="Normal"/>
    <w:next w:val="Normal"/>
    <w:link w:val="Heading2Char"/>
    <w:uiPriority w:val="99"/>
    <w:qFormat/>
    <w:rsid w:val="00D146A2"/>
    <w:pPr>
      <w:keepNext/>
      <w:widowControl/>
      <w:tabs>
        <w:tab w:val="num" w:pos="720"/>
      </w:tabs>
      <w:spacing w:line="480" w:lineRule="auto"/>
      <w:ind w:left="720" w:hanging="576"/>
      <w:outlineLvl w:val="1"/>
    </w:pPr>
    <w:rPr>
      <w:rFonts w:ascii="Arial" w:eastAsia="Times New Roman" w:hAnsi="Arial" w:cs="Arial"/>
      <w:smallCaps/>
      <w:sz w:val="22"/>
      <w:szCs w:val="22"/>
    </w:rPr>
  </w:style>
  <w:style w:type="paragraph" w:styleId="Heading3">
    <w:name w:val="heading 3"/>
    <w:basedOn w:val="Normal"/>
    <w:next w:val="Normal"/>
    <w:link w:val="Heading3Char"/>
    <w:uiPriority w:val="99"/>
    <w:qFormat/>
    <w:rsid w:val="00D146A2"/>
    <w:pPr>
      <w:keepNext/>
      <w:widowControl/>
      <w:tabs>
        <w:tab w:val="num" w:pos="864"/>
      </w:tabs>
      <w:spacing w:line="480" w:lineRule="auto"/>
      <w:ind w:left="864" w:hanging="720"/>
      <w:outlineLvl w:val="2"/>
    </w:pPr>
    <w:rPr>
      <w:rFonts w:ascii="Arial" w:eastAsia="Times New Roman" w:hAnsi="Arial" w:cs="Arial"/>
      <w:smallCaps/>
      <w:sz w:val="22"/>
      <w:szCs w:val="22"/>
    </w:rPr>
  </w:style>
  <w:style w:type="paragraph" w:styleId="Heading4">
    <w:name w:val="heading 4"/>
    <w:basedOn w:val="Normal"/>
    <w:next w:val="Normal"/>
    <w:link w:val="Heading4Char"/>
    <w:uiPriority w:val="99"/>
    <w:qFormat/>
    <w:rsid w:val="00D146A2"/>
    <w:pPr>
      <w:keepNext/>
      <w:widowControl/>
      <w:tabs>
        <w:tab w:val="num" w:pos="1008"/>
      </w:tabs>
      <w:spacing w:line="480" w:lineRule="auto"/>
      <w:ind w:left="1008" w:hanging="864"/>
      <w:outlineLvl w:val="3"/>
    </w:pPr>
    <w:rPr>
      <w:rFonts w:eastAsia="Times New Roman"/>
      <w:smallCaps/>
      <w:sz w:val="22"/>
      <w:szCs w:val="22"/>
    </w:rPr>
  </w:style>
  <w:style w:type="paragraph" w:styleId="Heading5">
    <w:name w:val="heading 5"/>
    <w:basedOn w:val="Normal"/>
    <w:next w:val="Normal"/>
    <w:link w:val="Heading5Char"/>
    <w:uiPriority w:val="99"/>
    <w:qFormat/>
    <w:rsid w:val="00D146A2"/>
    <w:pPr>
      <w:keepNext/>
      <w:widowControl/>
      <w:tabs>
        <w:tab w:val="num" w:pos="1152"/>
      </w:tabs>
      <w:spacing w:line="480" w:lineRule="auto"/>
      <w:ind w:left="1152" w:hanging="1008"/>
      <w:outlineLvl w:val="4"/>
    </w:pPr>
    <w:rPr>
      <w:rFonts w:eastAsia="Times New Roman"/>
      <w:smallCaps/>
      <w:sz w:val="22"/>
      <w:szCs w:val="22"/>
    </w:rPr>
  </w:style>
  <w:style w:type="paragraph" w:styleId="Heading6">
    <w:name w:val="heading 6"/>
    <w:basedOn w:val="Normal"/>
    <w:next w:val="Normal"/>
    <w:link w:val="Heading6Char"/>
    <w:uiPriority w:val="99"/>
    <w:qFormat/>
    <w:rsid w:val="00D146A2"/>
    <w:pPr>
      <w:keepNext/>
      <w:widowControl/>
      <w:tabs>
        <w:tab w:val="num" w:pos="1296"/>
      </w:tabs>
      <w:spacing w:line="480" w:lineRule="auto"/>
      <w:ind w:left="1296" w:hanging="1152"/>
      <w:outlineLvl w:val="5"/>
    </w:pPr>
    <w:rPr>
      <w:rFonts w:eastAsia="Times New Roman"/>
      <w:smallCaps/>
      <w:sz w:val="22"/>
      <w:szCs w:val="22"/>
    </w:rPr>
  </w:style>
  <w:style w:type="paragraph" w:styleId="Heading7">
    <w:name w:val="heading 7"/>
    <w:basedOn w:val="Normal"/>
    <w:next w:val="Normal"/>
    <w:link w:val="Heading7Char"/>
    <w:uiPriority w:val="99"/>
    <w:qFormat/>
    <w:rsid w:val="00D146A2"/>
    <w:pPr>
      <w:keepNext/>
      <w:widowControl/>
      <w:tabs>
        <w:tab w:val="num" w:pos="1440"/>
      </w:tabs>
      <w:spacing w:line="480" w:lineRule="auto"/>
      <w:ind w:left="1440" w:hanging="1296"/>
      <w:outlineLvl w:val="6"/>
    </w:pPr>
    <w:rPr>
      <w:rFonts w:eastAsia="Times New Roman"/>
      <w:smallCaps/>
      <w:sz w:val="22"/>
      <w:szCs w:val="22"/>
    </w:rPr>
  </w:style>
  <w:style w:type="paragraph" w:styleId="Heading8">
    <w:name w:val="heading 8"/>
    <w:basedOn w:val="Normal"/>
    <w:next w:val="Normal"/>
    <w:link w:val="Heading8Char"/>
    <w:uiPriority w:val="99"/>
    <w:qFormat/>
    <w:rsid w:val="00D146A2"/>
    <w:pPr>
      <w:keepNext/>
      <w:widowControl/>
      <w:tabs>
        <w:tab w:val="num" w:pos="1584"/>
      </w:tabs>
      <w:spacing w:line="480" w:lineRule="auto"/>
      <w:ind w:left="1584" w:hanging="1440"/>
      <w:outlineLvl w:val="7"/>
    </w:pPr>
    <w:rPr>
      <w:rFonts w:eastAsia="Times New Roman"/>
      <w:smallCaps/>
      <w:sz w:val="22"/>
      <w:szCs w:val="22"/>
    </w:rPr>
  </w:style>
  <w:style w:type="paragraph" w:styleId="Heading9">
    <w:name w:val="heading 9"/>
    <w:basedOn w:val="Normal"/>
    <w:next w:val="Normal"/>
    <w:link w:val="Heading9Char"/>
    <w:uiPriority w:val="99"/>
    <w:qFormat/>
    <w:rsid w:val="00D146A2"/>
    <w:pPr>
      <w:keepNext/>
      <w:widowControl/>
      <w:tabs>
        <w:tab w:val="num" w:pos="1728"/>
      </w:tabs>
      <w:spacing w:line="480" w:lineRule="auto"/>
      <w:ind w:left="1728"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697B23"/>
    <w:rPr>
      <w:rFonts w:eastAsia="Times New Roman"/>
    </w:rPr>
  </w:style>
  <w:style w:type="paragraph" w:styleId="ListParagraph">
    <w:name w:val="List Paragraph"/>
    <w:basedOn w:val="Normal"/>
    <w:uiPriority w:val="1"/>
    <w:qFormat/>
    <w:rsid w:val="00697B23"/>
  </w:style>
  <w:style w:type="paragraph" w:customStyle="1" w:styleId="TableParagraph">
    <w:name w:val="Table Paragraph"/>
    <w:basedOn w:val="Normal"/>
    <w:uiPriority w:val="1"/>
    <w:qFormat/>
    <w:rsid w:val="00697B23"/>
  </w:style>
  <w:style w:type="paragraph" w:styleId="FootnoteText">
    <w:name w:val="footnote text"/>
    <w:basedOn w:val="Normal"/>
    <w:link w:val="FootnoteTextChar"/>
    <w:uiPriority w:val="99"/>
    <w:unhideWhenUsed/>
    <w:rsid w:val="00674B66"/>
    <w:rPr>
      <w:sz w:val="20"/>
      <w:szCs w:val="20"/>
    </w:rPr>
  </w:style>
  <w:style w:type="character" w:customStyle="1" w:styleId="FootnoteTextChar">
    <w:name w:val="Footnote Text Char"/>
    <w:basedOn w:val="DefaultParagraphFont"/>
    <w:link w:val="FootnoteText"/>
    <w:uiPriority w:val="99"/>
    <w:rsid w:val="00674B66"/>
    <w:rPr>
      <w:sz w:val="20"/>
      <w:szCs w:val="20"/>
    </w:rPr>
  </w:style>
  <w:style w:type="character" w:styleId="FootnoteReference">
    <w:name w:val="footnote reference"/>
    <w:basedOn w:val="DefaultParagraphFont"/>
    <w:uiPriority w:val="99"/>
    <w:unhideWhenUsed/>
    <w:rsid w:val="00674B66"/>
    <w:rPr>
      <w:vertAlign w:val="superscript"/>
    </w:rPr>
  </w:style>
  <w:style w:type="paragraph" w:styleId="Header">
    <w:name w:val="header"/>
    <w:basedOn w:val="Normal"/>
    <w:link w:val="HeaderChar"/>
    <w:uiPriority w:val="99"/>
    <w:unhideWhenUsed/>
    <w:rsid w:val="00674B66"/>
    <w:pPr>
      <w:tabs>
        <w:tab w:val="center" w:pos="4680"/>
        <w:tab w:val="right" w:pos="9360"/>
      </w:tabs>
    </w:pPr>
  </w:style>
  <w:style w:type="character" w:customStyle="1" w:styleId="HeaderChar">
    <w:name w:val="Header Char"/>
    <w:basedOn w:val="DefaultParagraphFont"/>
    <w:link w:val="Header"/>
    <w:uiPriority w:val="99"/>
    <w:rsid w:val="00674B66"/>
  </w:style>
  <w:style w:type="paragraph" w:styleId="Footer">
    <w:name w:val="footer"/>
    <w:basedOn w:val="Normal"/>
    <w:link w:val="FooterChar"/>
    <w:uiPriority w:val="99"/>
    <w:unhideWhenUsed/>
    <w:rsid w:val="00674B66"/>
    <w:pPr>
      <w:tabs>
        <w:tab w:val="center" w:pos="4680"/>
        <w:tab w:val="right" w:pos="9360"/>
      </w:tabs>
    </w:pPr>
  </w:style>
  <w:style w:type="character" w:customStyle="1" w:styleId="FooterChar">
    <w:name w:val="Footer Char"/>
    <w:basedOn w:val="DefaultParagraphFont"/>
    <w:link w:val="Footer"/>
    <w:uiPriority w:val="99"/>
    <w:rsid w:val="00674B66"/>
  </w:style>
  <w:style w:type="paragraph" w:styleId="BalloonText">
    <w:name w:val="Balloon Text"/>
    <w:basedOn w:val="Normal"/>
    <w:link w:val="BalloonTextChar"/>
    <w:uiPriority w:val="99"/>
    <w:unhideWhenUsed/>
    <w:rsid w:val="00DE2B24"/>
    <w:rPr>
      <w:rFonts w:ascii="Tahoma" w:hAnsi="Tahoma" w:cs="Tahoma"/>
      <w:sz w:val="16"/>
      <w:szCs w:val="16"/>
    </w:rPr>
  </w:style>
  <w:style w:type="character" w:customStyle="1" w:styleId="BalloonTextChar">
    <w:name w:val="Balloon Text Char"/>
    <w:basedOn w:val="DefaultParagraphFont"/>
    <w:link w:val="BalloonText"/>
    <w:uiPriority w:val="99"/>
    <w:semiHidden/>
    <w:rsid w:val="00DE2B24"/>
    <w:rPr>
      <w:rFonts w:ascii="Tahoma" w:hAnsi="Tahoma" w:cs="Tahoma"/>
      <w:sz w:val="16"/>
      <w:szCs w:val="16"/>
    </w:rPr>
  </w:style>
  <w:style w:type="paragraph" w:styleId="Revision">
    <w:name w:val="Revision"/>
    <w:hidden/>
    <w:uiPriority w:val="99"/>
    <w:semiHidden/>
    <w:rsid w:val="00FF3E46"/>
    <w:pPr>
      <w:widowControl/>
    </w:pPr>
  </w:style>
  <w:style w:type="character" w:styleId="CommentReference">
    <w:name w:val="annotation reference"/>
    <w:basedOn w:val="DefaultParagraphFont"/>
    <w:uiPriority w:val="99"/>
    <w:unhideWhenUsed/>
    <w:rsid w:val="003F78FF"/>
    <w:rPr>
      <w:sz w:val="16"/>
      <w:szCs w:val="16"/>
    </w:rPr>
  </w:style>
  <w:style w:type="paragraph" w:styleId="CommentText">
    <w:name w:val="annotation text"/>
    <w:basedOn w:val="Normal"/>
    <w:link w:val="CommentTextChar"/>
    <w:uiPriority w:val="99"/>
    <w:unhideWhenUsed/>
    <w:rsid w:val="003F78FF"/>
    <w:rPr>
      <w:sz w:val="20"/>
      <w:szCs w:val="20"/>
    </w:rPr>
  </w:style>
  <w:style w:type="character" w:customStyle="1" w:styleId="CommentTextChar">
    <w:name w:val="Comment Text Char"/>
    <w:basedOn w:val="DefaultParagraphFont"/>
    <w:link w:val="CommentText"/>
    <w:uiPriority w:val="99"/>
    <w:semiHidden/>
    <w:rsid w:val="003F78FF"/>
    <w:rPr>
      <w:sz w:val="20"/>
      <w:szCs w:val="20"/>
    </w:rPr>
  </w:style>
  <w:style w:type="paragraph" w:styleId="CommentSubject">
    <w:name w:val="annotation subject"/>
    <w:basedOn w:val="CommentText"/>
    <w:next w:val="CommentText"/>
    <w:link w:val="CommentSubjectChar"/>
    <w:uiPriority w:val="99"/>
    <w:unhideWhenUsed/>
    <w:rsid w:val="003F78FF"/>
    <w:rPr>
      <w:b/>
      <w:bCs/>
    </w:rPr>
  </w:style>
  <w:style w:type="character" w:customStyle="1" w:styleId="CommentSubjectChar">
    <w:name w:val="Comment Subject Char"/>
    <w:basedOn w:val="CommentTextChar"/>
    <w:link w:val="CommentSubject"/>
    <w:uiPriority w:val="99"/>
    <w:semiHidden/>
    <w:rsid w:val="003F78FF"/>
    <w:rPr>
      <w:b/>
      <w:bCs/>
      <w:sz w:val="20"/>
      <w:szCs w:val="20"/>
    </w:rPr>
  </w:style>
  <w:style w:type="table" w:styleId="TableGrid">
    <w:name w:val="Table Grid"/>
    <w:basedOn w:val="TableNormal"/>
    <w:uiPriority w:val="59"/>
    <w:rsid w:val="00F00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F056A7"/>
    <w:rPr>
      <w:sz w:val="20"/>
      <w:szCs w:val="20"/>
    </w:rPr>
  </w:style>
  <w:style w:type="character" w:customStyle="1" w:styleId="EndnoteTextChar">
    <w:name w:val="Endnote Text Char"/>
    <w:basedOn w:val="DefaultParagraphFont"/>
    <w:link w:val="EndnoteText"/>
    <w:uiPriority w:val="99"/>
    <w:rsid w:val="00F056A7"/>
    <w:rPr>
      <w:sz w:val="20"/>
      <w:szCs w:val="20"/>
    </w:rPr>
  </w:style>
  <w:style w:type="character" w:styleId="EndnoteReference">
    <w:name w:val="endnote reference"/>
    <w:basedOn w:val="DefaultParagraphFont"/>
    <w:uiPriority w:val="99"/>
    <w:semiHidden/>
    <w:unhideWhenUsed/>
    <w:rsid w:val="00F056A7"/>
    <w:rPr>
      <w:vertAlign w:val="superscript"/>
    </w:rPr>
  </w:style>
  <w:style w:type="paragraph" w:customStyle="1" w:styleId="Default">
    <w:name w:val="Default"/>
    <w:uiPriority w:val="99"/>
    <w:rsid w:val="00683434"/>
    <w:pPr>
      <w:widowControl/>
      <w:autoSpaceDE w:val="0"/>
      <w:autoSpaceDN w:val="0"/>
      <w:adjustRightInd w:val="0"/>
    </w:pPr>
    <w:rPr>
      <w:rFonts w:eastAsia="Calibri"/>
      <w:color w:val="000000"/>
    </w:rPr>
  </w:style>
  <w:style w:type="character" w:styleId="Hyperlink">
    <w:name w:val="Hyperlink"/>
    <w:basedOn w:val="DefaultParagraphFont"/>
    <w:uiPriority w:val="99"/>
    <w:unhideWhenUsed/>
    <w:rsid w:val="00683434"/>
    <w:rPr>
      <w:color w:val="0000FF"/>
      <w:u w:val="single"/>
    </w:rPr>
  </w:style>
  <w:style w:type="paragraph" w:styleId="NormalWeb">
    <w:name w:val="Normal (Web)"/>
    <w:basedOn w:val="Normal"/>
    <w:uiPriority w:val="99"/>
    <w:unhideWhenUsed/>
    <w:rsid w:val="00683434"/>
    <w:pPr>
      <w:widowControl/>
      <w:spacing w:before="100" w:beforeAutospacing="1" w:after="100" w:afterAutospacing="1"/>
    </w:pPr>
    <w:rPr>
      <w:rFonts w:eastAsia="Calibri"/>
    </w:rPr>
  </w:style>
  <w:style w:type="paragraph" w:customStyle="1" w:styleId="Footnotes">
    <w:name w:val="Footnotes"/>
    <w:basedOn w:val="FootnoteText"/>
    <w:qFormat/>
    <w:rsid w:val="00683434"/>
    <w:pPr>
      <w:keepLines/>
      <w:widowControl/>
    </w:pPr>
    <w:rPr>
      <w:rFonts w:eastAsia="Calibri"/>
    </w:rPr>
  </w:style>
  <w:style w:type="paragraph" w:styleId="BodyText2">
    <w:name w:val="Body Text 2"/>
    <w:basedOn w:val="Normal"/>
    <w:link w:val="BodyText2Char"/>
    <w:uiPriority w:val="99"/>
    <w:unhideWhenUsed/>
    <w:rsid w:val="00D146A2"/>
    <w:pPr>
      <w:spacing w:after="120" w:line="480" w:lineRule="auto"/>
    </w:pPr>
  </w:style>
  <w:style w:type="character" w:customStyle="1" w:styleId="BodyText2Char">
    <w:name w:val="Body Text 2 Char"/>
    <w:basedOn w:val="DefaultParagraphFont"/>
    <w:link w:val="BodyText2"/>
    <w:uiPriority w:val="99"/>
    <w:semiHidden/>
    <w:rsid w:val="00D146A2"/>
  </w:style>
  <w:style w:type="paragraph" w:styleId="BodyTextIndent3">
    <w:name w:val="Body Text Indent 3"/>
    <w:basedOn w:val="Normal"/>
    <w:link w:val="BodyTextIndent3Char"/>
    <w:uiPriority w:val="99"/>
    <w:unhideWhenUsed/>
    <w:rsid w:val="00D146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46A2"/>
    <w:rPr>
      <w:sz w:val="16"/>
      <w:szCs w:val="16"/>
    </w:rPr>
  </w:style>
  <w:style w:type="character" w:customStyle="1" w:styleId="Heading2Char">
    <w:name w:val="Heading 2 Char"/>
    <w:basedOn w:val="DefaultParagraphFont"/>
    <w:link w:val="Heading2"/>
    <w:uiPriority w:val="99"/>
    <w:rsid w:val="00D146A2"/>
    <w:rPr>
      <w:rFonts w:ascii="Arial" w:eastAsia="Times New Roman" w:hAnsi="Arial" w:cs="Arial"/>
      <w:smallCaps/>
      <w:sz w:val="22"/>
      <w:szCs w:val="22"/>
    </w:rPr>
  </w:style>
  <w:style w:type="character" w:customStyle="1" w:styleId="Heading3Char">
    <w:name w:val="Heading 3 Char"/>
    <w:basedOn w:val="DefaultParagraphFont"/>
    <w:link w:val="Heading3"/>
    <w:uiPriority w:val="99"/>
    <w:rsid w:val="00D146A2"/>
    <w:rPr>
      <w:rFonts w:ascii="Arial" w:eastAsia="Times New Roman" w:hAnsi="Arial" w:cs="Arial"/>
      <w:smallCaps/>
      <w:sz w:val="22"/>
      <w:szCs w:val="22"/>
    </w:rPr>
  </w:style>
  <w:style w:type="character" w:customStyle="1" w:styleId="Heading4Char">
    <w:name w:val="Heading 4 Char"/>
    <w:basedOn w:val="DefaultParagraphFont"/>
    <w:link w:val="Heading4"/>
    <w:uiPriority w:val="99"/>
    <w:rsid w:val="00D146A2"/>
    <w:rPr>
      <w:rFonts w:eastAsia="Times New Roman"/>
      <w:smallCaps/>
      <w:sz w:val="22"/>
      <w:szCs w:val="22"/>
    </w:rPr>
  </w:style>
  <w:style w:type="character" w:customStyle="1" w:styleId="Heading5Char">
    <w:name w:val="Heading 5 Char"/>
    <w:basedOn w:val="DefaultParagraphFont"/>
    <w:link w:val="Heading5"/>
    <w:uiPriority w:val="99"/>
    <w:rsid w:val="00D146A2"/>
    <w:rPr>
      <w:rFonts w:eastAsia="Times New Roman"/>
      <w:smallCaps/>
      <w:sz w:val="22"/>
      <w:szCs w:val="22"/>
    </w:rPr>
  </w:style>
  <w:style w:type="character" w:customStyle="1" w:styleId="Heading6Char">
    <w:name w:val="Heading 6 Char"/>
    <w:basedOn w:val="DefaultParagraphFont"/>
    <w:link w:val="Heading6"/>
    <w:uiPriority w:val="99"/>
    <w:rsid w:val="00D146A2"/>
    <w:rPr>
      <w:rFonts w:eastAsia="Times New Roman"/>
      <w:smallCaps/>
      <w:sz w:val="22"/>
      <w:szCs w:val="22"/>
    </w:rPr>
  </w:style>
  <w:style w:type="character" w:customStyle="1" w:styleId="Heading7Char">
    <w:name w:val="Heading 7 Char"/>
    <w:basedOn w:val="DefaultParagraphFont"/>
    <w:link w:val="Heading7"/>
    <w:uiPriority w:val="99"/>
    <w:rsid w:val="00D146A2"/>
    <w:rPr>
      <w:rFonts w:eastAsia="Times New Roman"/>
      <w:smallCaps/>
      <w:sz w:val="22"/>
      <w:szCs w:val="22"/>
    </w:rPr>
  </w:style>
  <w:style w:type="character" w:customStyle="1" w:styleId="Heading8Char">
    <w:name w:val="Heading 8 Char"/>
    <w:basedOn w:val="DefaultParagraphFont"/>
    <w:link w:val="Heading8"/>
    <w:uiPriority w:val="99"/>
    <w:rsid w:val="00D146A2"/>
    <w:rPr>
      <w:rFonts w:eastAsia="Times New Roman"/>
      <w:smallCaps/>
      <w:sz w:val="22"/>
      <w:szCs w:val="22"/>
    </w:rPr>
  </w:style>
  <w:style w:type="character" w:customStyle="1" w:styleId="Heading9Char">
    <w:name w:val="Heading 9 Char"/>
    <w:basedOn w:val="DefaultParagraphFont"/>
    <w:link w:val="Heading9"/>
    <w:uiPriority w:val="99"/>
    <w:rsid w:val="00D146A2"/>
    <w:rPr>
      <w:rFonts w:eastAsia="Times New Roman"/>
      <w:sz w:val="22"/>
      <w:szCs w:val="22"/>
    </w:rPr>
  </w:style>
  <w:style w:type="character" w:customStyle="1" w:styleId="Heading1Char">
    <w:name w:val="Heading 1 Char"/>
    <w:basedOn w:val="DefaultParagraphFont"/>
    <w:link w:val="Heading1"/>
    <w:uiPriority w:val="99"/>
    <w:rsid w:val="00D146A2"/>
    <w:rPr>
      <w:rFonts w:eastAsia="Times New Roman"/>
      <w:b/>
      <w:bCs/>
    </w:rPr>
  </w:style>
  <w:style w:type="character" w:styleId="Emphasis">
    <w:name w:val="Emphasis"/>
    <w:basedOn w:val="DefaultParagraphFont"/>
    <w:uiPriority w:val="99"/>
    <w:qFormat/>
    <w:rsid w:val="00D146A2"/>
    <w:rPr>
      <w:rFonts w:ascii="Times New Roman" w:hAnsi="Times New Roman" w:cs="Times New Roman"/>
      <w:i/>
      <w:iCs/>
    </w:rPr>
  </w:style>
  <w:style w:type="character" w:customStyle="1" w:styleId="BodyTextChar">
    <w:name w:val="Body Text Char"/>
    <w:basedOn w:val="DefaultParagraphFont"/>
    <w:link w:val="BodyText"/>
    <w:uiPriority w:val="99"/>
    <w:rsid w:val="00D146A2"/>
    <w:rPr>
      <w:rFonts w:eastAsia="Times New Roman"/>
    </w:rPr>
  </w:style>
  <w:style w:type="paragraph" w:styleId="BodyTextIndent2">
    <w:name w:val="Body Text Indent 2"/>
    <w:basedOn w:val="Normal"/>
    <w:link w:val="BodyTextIndent2Char"/>
    <w:uiPriority w:val="99"/>
    <w:rsid w:val="00D146A2"/>
    <w:pPr>
      <w:widowControl/>
      <w:pBdr>
        <w:top w:val="single" w:sz="6" w:space="1" w:color="auto"/>
        <w:left w:val="single" w:sz="6" w:space="4" w:color="auto"/>
        <w:bottom w:val="single" w:sz="6" w:space="1" w:color="auto"/>
        <w:right w:val="single" w:sz="6" w:space="4" w:color="auto"/>
      </w:pBdr>
      <w:spacing w:after="120"/>
      <w:ind w:left="360"/>
    </w:pPr>
    <w:rPr>
      <w:rFonts w:eastAsia="Times New Roman"/>
      <w:sz w:val="22"/>
      <w:szCs w:val="22"/>
    </w:rPr>
  </w:style>
  <w:style w:type="character" w:customStyle="1" w:styleId="BodyTextIndent2Char">
    <w:name w:val="Body Text Indent 2 Char"/>
    <w:basedOn w:val="DefaultParagraphFont"/>
    <w:link w:val="BodyTextIndent2"/>
    <w:uiPriority w:val="99"/>
    <w:rsid w:val="00D146A2"/>
    <w:rPr>
      <w:rFonts w:eastAsia="Times New Roman"/>
      <w:sz w:val="22"/>
      <w:szCs w:val="22"/>
    </w:rPr>
  </w:style>
  <w:style w:type="character" w:styleId="FollowedHyperlink">
    <w:name w:val="FollowedHyperlink"/>
    <w:basedOn w:val="DefaultParagraphFont"/>
    <w:uiPriority w:val="99"/>
    <w:rsid w:val="00D146A2"/>
    <w:rPr>
      <w:rFonts w:ascii="Times New Roman" w:hAnsi="Times New Roman" w:cs="Times New Roman"/>
      <w:color w:val="800080"/>
      <w:u w:val="single"/>
    </w:rPr>
  </w:style>
  <w:style w:type="paragraph" w:styleId="Title">
    <w:name w:val="Title"/>
    <w:basedOn w:val="Normal"/>
    <w:link w:val="TitleChar"/>
    <w:uiPriority w:val="99"/>
    <w:qFormat/>
    <w:rsid w:val="00D146A2"/>
    <w:pPr>
      <w:widowControl/>
      <w:jc w:val="center"/>
    </w:pPr>
    <w:rPr>
      <w:rFonts w:eastAsia="Times New Roman"/>
      <w:b/>
      <w:bCs/>
      <w:caps/>
      <w:sz w:val="22"/>
      <w:szCs w:val="22"/>
    </w:rPr>
  </w:style>
  <w:style w:type="character" w:customStyle="1" w:styleId="TitleChar">
    <w:name w:val="Title Char"/>
    <w:basedOn w:val="DefaultParagraphFont"/>
    <w:link w:val="Title"/>
    <w:uiPriority w:val="99"/>
    <w:rsid w:val="00D146A2"/>
    <w:rPr>
      <w:rFonts w:eastAsia="Times New Roman"/>
      <w:b/>
      <w:bCs/>
      <w:caps/>
      <w:sz w:val="22"/>
      <w:szCs w:val="22"/>
    </w:rPr>
  </w:style>
  <w:style w:type="character" w:styleId="PageNumber">
    <w:name w:val="page number"/>
    <w:basedOn w:val="DefaultParagraphFont"/>
    <w:uiPriority w:val="99"/>
    <w:rsid w:val="00D146A2"/>
    <w:rPr>
      <w:rFonts w:ascii="Times New Roman" w:hAnsi="Times New Roman" w:cs="Times New Roman"/>
    </w:rPr>
  </w:style>
  <w:style w:type="paragraph" w:styleId="DocumentMap">
    <w:name w:val="Document Map"/>
    <w:basedOn w:val="Normal"/>
    <w:link w:val="DocumentMapChar"/>
    <w:uiPriority w:val="99"/>
    <w:semiHidden/>
    <w:unhideWhenUsed/>
    <w:rsid w:val="001E163F"/>
    <w:rPr>
      <w:rFonts w:ascii="Lucida Grande" w:hAnsi="Lucida Grande" w:cs="Lucida Grande"/>
    </w:rPr>
  </w:style>
  <w:style w:type="character" w:customStyle="1" w:styleId="DocumentMapChar">
    <w:name w:val="Document Map Char"/>
    <w:basedOn w:val="DefaultParagraphFont"/>
    <w:link w:val="DocumentMap"/>
    <w:uiPriority w:val="99"/>
    <w:semiHidden/>
    <w:rsid w:val="001E163F"/>
    <w:rPr>
      <w:rFonts w:ascii="Lucida Grande" w:hAnsi="Lucida Grande" w:cs="Lucida Grande"/>
    </w:rPr>
  </w:style>
</w:styles>
</file>

<file path=word/webSettings.xml><?xml version="1.0" encoding="utf-8"?>
<w:webSettings xmlns:r="http://schemas.openxmlformats.org/officeDocument/2006/relationships" xmlns:w="http://schemas.openxmlformats.org/wordprocessingml/2006/main">
  <w:divs>
    <w:div w:id="215357907">
      <w:bodyDiv w:val="1"/>
      <w:marLeft w:val="0"/>
      <w:marRight w:val="0"/>
      <w:marTop w:val="0"/>
      <w:marBottom w:val="0"/>
      <w:divBdr>
        <w:top w:val="none" w:sz="0" w:space="0" w:color="auto"/>
        <w:left w:val="none" w:sz="0" w:space="0" w:color="auto"/>
        <w:bottom w:val="none" w:sz="0" w:space="0" w:color="auto"/>
        <w:right w:val="none" w:sz="0" w:space="0" w:color="auto"/>
      </w:divBdr>
      <w:divsChild>
        <w:div w:id="2023896375">
          <w:marLeft w:val="0"/>
          <w:marRight w:val="0"/>
          <w:marTop w:val="0"/>
          <w:marBottom w:val="0"/>
          <w:divBdr>
            <w:top w:val="none" w:sz="0" w:space="0" w:color="auto"/>
            <w:left w:val="none" w:sz="0" w:space="0" w:color="auto"/>
            <w:bottom w:val="none" w:sz="0" w:space="0" w:color="auto"/>
            <w:right w:val="none" w:sz="0" w:space="0" w:color="auto"/>
          </w:divBdr>
          <w:divsChild>
            <w:div w:id="929967250">
              <w:marLeft w:val="0"/>
              <w:marRight w:val="0"/>
              <w:marTop w:val="0"/>
              <w:marBottom w:val="0"/>
              <w:divBdr>
                <w:top w:val="none" w:sz="0" w:space="0" w:color="auto"/>
                <w:left w:val="none" w:sz="0" w:space="0" w:color="auto"/>
                <w:bottom w:val="none" w:sz="0" w:space="0" w:color="auto"/>
                <w:right w:val="none" w:sz="0" w:space="0" w:color="auto"/>
              </w:divBdr>
              <w:divsChild>
                <w:div w:id="4212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
    <w:div w:id="488793713">
      <w:bodyDiv w:val="1"/>
      <w:marLeft w:val="0"/>
      <w:marRight w:val="0"/>
      <w:marTop w:val="0"/>
      <w:marBottom w:val="0"/>
      <w:divBdr>
        <w:top w:val="none" w:sz="0" w:space="0" w:color="auto"/>
        <w:left w:val="none" w:sz="0" w:space="0" w:color="auto"/>
        <w:bottom w:val="none" w:sz="0" w:space="0" w:color="auto"/>
        <w:right w:val="none" w:sz="0" w:space="0" w:color="auto"/>
      </w:divBdr>
      <w:divsChild>
        <w:div w:id="1673755647">
          <w:marLeft w:val="0"/>
          <w:marRight w:val="0"/>
          <w:marTop w:val="0"/>
          <w:marBottom w:val="0"/>
          <w:divBdr>
            <w:top w:val="none" w:sz="0" w:space="0" w:color="auto"/>
            <w:left w:val="none" w:sz="0" w:space="0" w:color="auto"/>
            <w:bottom w:val="none" w:sz="0" w:space="0" w:color="auto"/>
            <w:right w:val="none" w:sz="0" w:space="0" w:color="auto"/>
          </w:divBdr>
          <w:divsChild>
            <w:div w:id="1007711349">
              <w:marLeft w:val="0"/>
              <w:marRight w:val="0"/>
              <w:marTop w:val="0"/>
              <w:marBottom w:val="0"/>
              <w:divBdr>
                <w:top w:val="none" w:sz="0" w:space="0" w:color="auto"/>
                <w:left w:val="none" w:sz="0" w:space="0" w:color="auto"/>
                <w:bottom w:val="none" w:sz="0" w:space="0" w:color="auto"/>
                <w:right w:val="none" w:sz="0" w:space="0" w:color="auto"/>
              </w:divBdr>
              <w:divsChild>
                <w:div w:id="4433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4012">
      <w:bodyDiv w:val="1"/>
      <w:marLeft w:val="0"/>
      <w:marRight w:val="0"/>
      <w:marTop w:val="0"/>
      <w:marBottom w:val="0"/>
      <w:divBdr>
        <w:top w:val="none" w:sz="0" w:space="0" w:color="auto"/>
        <w:left w:val="none" w:sz="0" w:space="0" w:color="auto"/>
        <w:bottom w:val="none" w:sz="0" w:space="0" w:color="auto"/>
        <w:right w:val="none" w:sz="0" w:space="0" w:color="auto"/>
      </w:divBdr>
    </w:div>
    <w:div w:id="1513495125">
      <w:bodyDiv w:val="1"/>
      <w:marLeft w:val="0"/>
      <w:marRight w:val="0"/>
      <w:marTop w:val="0"/>
      <w:marBottom w:val="0"/>
      <w:divBdr>
        <w:top w:val="none" w:sz="0" w:space="0" w:color="auto"/>
        <w:left w:val="none" w:sz="0" w:space="0" w:color="auto"/>
        <w:bottom w:val="none" w:sz="0" w:space="0" w:color="auto"/>
        <w:right w:val="none" w:sz="0" w:space="0" w:color="auto"/>
      </w:divBdr>
    </w:div>
    <w:div w:id="1605766988">
      <w:bodyDiv w:val="1"/>
      <w:marLeft w:val="0"/>
      <w:marRight w:val="0"/>
      <w:marTop w:val="0"/>
      <w:marBottom w:val="0"/>
      <w:divBdr>
        <w:top w:val="none" w:sz="0" w:space="0" w:color="auto"/>
        <w:left w:val="none" w:sz="0" w:space="0" w:color="auto"/>
        <w:bottom w:val="none" w:sz="0" w:space="0" w:color="auto"/>
        <w:right w:val="none" w:sz="0" w:space="0" w:color="auto"/>
      </w:divBdr>
    </w:div>
    <w:div w:id="1627199316">
      <w:bodyDiv w:val="1"/>
      <w:marLeft w:val="0"/>
      <w:marRight w:val="0"/>
      <w:marTop w:val="0"/>
      <w:marBottom w:val="0"/>
      <w:divBdr>
        <w:top w:val="none" w:sz="0" w:space="0" w:color="auto"/>
        <w:left w:val="none" w:sz="0" w:space="0" w:color="auto"/>
        <w:bottom w:val="none" w:sz="0" w:space="0" w:color="auto"/>
        <w:right w:val="none" w:sz="0" w:space="0" w:color="auto"/>
      </w:divBdr>
    </w:div>
    <w:div w:id="1658193497">
      <w:bodyDiv w:val="1"/>
      <w:marLeft w:val="0"/>
      <w:marRight w:val="0"/>
      <w:marTop w:val="0"/>
      <w:marBottom w:val="0"/>
      <w:divBdr>
        <w:top w:val="none" w:sz="0" w:space="0" w:color="auto"/>
        <w:left w:val="none" w:sz="0" w:space="0" w:color="auto"/>
        <w:bottom w:val="none" w:sz="0" w:space="0" w:color="auto"/>
        <w:right w:val="none" w:sz="0" w:space="0" w:color="auto"/>
      </w:divBdr>
    </w:div>
    <w:div w:id="1791775774">
      <w:bodyDiv w:val="1"/>
      <w:marLeft w:val="0"/>
      <w:marRight w:val="0"/>
      <w:marTop w:val="0"/>
      <w:marBottom w:val="0"/>
      <w:divBdr>
        <w:top w:val="none" w:sz="0" w:space="0" w:color="auto"/>
        <w:left w:val="none" w:sz="0" w:space="0" w:color="auto"/>
        <w:bottom w:val="none" w:sz="0" w:space="0" w:color="auto"/>
        <w:right w:val="none" w:sz="0" w:space="0" w:color="auto"/>
      </w:divBdr>
      <w:divsChild>
        <w:div w:id="836044770">
          <w:marLeft w:val="0"/>
          <w:marRight w:val="0"/>
          <w:marTop w:val="0"/>
          <w:marBottom w:val="0"/>
          <w:divBdr>
            <w:top w:val="none" w:sz="0" w:space="0" w:color="auto"/>
            <w:left w:val="none" w:sz="0" w:space="0" w:color="auto"/>
            <w:bottom w:val="none" w:sz="0" w:space="0" w:color="auto"/>
            <w:right w:val="none" w:sz="0" w:space="0" w:color="auto"/>
          </w:divBdr>
          <w:divsChild>
            <w:div w:id="648555277">
              <w:marLeft w:val="0"/>
              <w:marRight w:val="0"/>
              <w:marTop w:val="0"/>
              <w:marBottom w:val="0"/>
              <w:divBdr>
                <w:top w:val="none" w:sz="0" w:space="0" w:color="auto"/>
                <w:left w:val="none" w:sz="0" w:space="0" w:color="auto"/>
                <w:bottom w:val="none" w:sz="0" w:space="0" w:color="auto"/>
                <w:right w:val="none" w:sz="0" w:space="0" w:color="auto"/>
              </w:divBdr>
              <w:divsChild>
                <w:div w:id="2001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3389">
      <w:bodyDiv w:val="1"/>
      <w:marLeft w:val="0"/>
      <w:marRight w:val="0"/>
      <w:marTop w:val="0"/>
      <w:marBottom w:val="0"/>
      <w:divBdr>
        <w:top w:val="none" w:sz="0" w:space="0" w:color="auto"/>
        <w:left w:val="none" w:sz="0" w:space="0" w:color="auto"/>
        <w:bottom w:val="none" w:sz="0" w:space="0" w:color="auto"/>
        <w:right w:val="none" w:sz="0" w:space="0" w:color="auto"/>
      </w:divBdr>
    </w:div>
    <w:div w:id="2087678175">
      <w:bodyDiv w:val="1"/>
      <w:marLeft w:val="0"/>
      <w:marRight w:val="0"/>
      <w:marTop w:val="0"/>
      <w:marBottom w:val="0"/>
      <w:divBdr>
        <w:top w:val="none" w:sz="0" w:space="0" w:color="auto"/>
        <w:left w:val="none" w:sz="0" w:space="0" w:color="auto"/>
        <w:bottom w:val="none" w:sz="0" w:space="0" w:color="auto"/>
        <w:right w:val="none" w:sz="0" w:space="0" w:color="auto"/>
      </w:divBdr>
    </w:div>
    <w:div w:id="214311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sciencedirect.com/science/journal/0304405X/92/3" TargetMode="External"/><Relationship Id="rId4" Type="http://schemas.openxmlformats.org/officeDocument/2006/relationships/settings" Target="settings.xml"/><Relationship Id="rId9" Type="http://schemas.openxmlformats.org/officeDocument/2006/relationships/hyperlink" Target="http://www.sciencedirect.com/science/journal/0304405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96813-AC6E-4890-A8A6-94B1C8FB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40</Pages>
  <Words>11590</Words>
  <Characters>66065</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Barrese</dc:creator>
  <cp:lastModifiedBy>Ping Wang</cp:lastModifiedBy>
  <cp:revision>5</cp:revision>
  <cp:lastPrinted>2016-11-16T22:09:00Z</cp:lastPrinted>
  <dcterms:created xsi:type="dcterms:W3CDTF">2016-12-07T16:50:00Z</dcterms:created>
  <dcterms:modified xsi:type="dcterms:W3CDTF">2016-12-08T15:46:00Z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2013-03-07T00:00:00Z</vt:filetime>
  </property>
</Properties>
</file>